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9A" w:rsidRDefault="00AB78A7" w:rsidP="00913AFF">
      <w:pPr>
        <w:spacing w:after="0"/>
        <w:jc w:val="center"/>
        <w:rPr>
          <w:b/>
          <w:sz w:val="28"/>
          <w:szCs w:val="28"/>
        </w:rPr>
      </w:pPr>
      <w:r w:rsidRPr="00082B21">
        <w:rPr>
          <w:b/>
          <w:sz w:val="28"/>
          <w:szCs w:val="28"/>
        </w:rPr>
        <w:t>Minutes of the 201</w:t>
      </w:r>
      <w:r w:rsidR="003B2359">
        <w:rPr>
          <w:b/>
          <w:sz w:val="28"/>
          <w:szCs w:val="28"/>
        </w:rPr>
        <w:t>8</w:t>
      </w:r>
      <w:r w:rsidRPr="00082B21">
        <w:rPr>
          <w:b/>
          <w:sz w:val="28"/>
          <w:szCs w:val="28"/>
        </w:rPr>
        <w:t xml:space="preserve"> Annual Meeting of the Georgia Entomological Society</w:t>
      </w:r>
    </w:p>
    <w:p w:rsidR="00D00604" w:rsidRPr="00082B21" w:rsidRDefault="00D00604" w:rsidP="00913AFF">
      <w:pPr>
        <w:spacing w:after="0"/>
        <w:jc w:val="center"/>
        <w:rPr>
          <w:b/>
          <w:sz w:val="28"/>
          <w:szCs w:val="28"/>
        </w:rPr>
      </w:pPr>
      <w:r>
        <w:rPr>
          <w:b/>
          <w:sz w:val="28"/>
          <w:szCs w:val="28"/>
        </w:rPr>
        <w:t>In Association with the South Carolina Entomological Society</w:t>
      </w:r>
    </w:p>
    <w:p w:rsidR="00913AFF" w:rsidRPr="00AB78A7" w:rsidRDefault="00913AFF" w:rsidP="00913AFF">
      <w:pPr>
        <w:spacing w:after="0"/>
        <w:jc w:val="center"/>
        <w:rPr>
          <w:b/>
        </w:rPr>
      </w:pPr>
    </w:p>
    <w:p w:rsidR="00AB78A7" w:rsidRDefault="00AB78A7" w:rsidP="00913AFF">
      <w:pPr>
        <w:spacing w:after="0"/>
        <w:rPr>
          <w:b/>
        </w:rPr>
      </w:pPr>
      <w:r w:rsidRPr="00075482">
        <w:rPr>
          <w:b/>
        </w:rPr>
        <w:t>Executive Committee Meeting Minutes</w:t>
      </w:r>
    </w:p>
    <w:p w:rsidR="00AB78A7" w:rsidRDefault="00075482" w:rsidP="00913AFF">
      <w:pPr>
        <w:spacing w:after="0"/>
        <w:rPr>
          <w:b/>
        </w:rPr>
      </w:pPr>
      <w:r w:rsidRPr="00075482">
        <w:rPr>
          <w:b/>
        </w:rPr>
        <w:t xml:space="preserve">April </w:t>
      </w:r>
      <w:r w:rsidR="008D5217">
        <w:rPr>
          <w:b/>
        </w:rPr>
        <w:t>0</w:t>
      </w:r>
      <w:r w:rsidR="003B2359">
        <w:rPr>
          <w:b/>
        </w:rPr>
        <w:t>4</w:t>
      </w:r>
      <w:r w:rsidRPr="00075482">
        <w:rPr>
          <w:b/>
        </w:rPr>
        <w:t>, 201</w:t>
      </w:r>
      <w:r w:rsidR="003B2359">
        <w:rPr>
          <w:b/>
        </w:rPr>
        <w:t>8</w:t>
      </w:r>
      <w:r w:rsidRPr="00075482">
        <w:rPr>
          <w:b/>
        </w:rPr>
        <w:t xml:space="preserve">. </w:t>
      </w:r>
      <w:r w:rsidR="003B2359">
        <w:rPr>
          <w:b/>
        </w:rPr>
        <w:t>Unicoi State Park</w:t>
      </w:r>
      <w:r w:rsidR="00C67375">
        <w:rPr>
          <w:b/>
        </w:rPr>
        <w:t xml:space="preserve">, </w:t>
      </w:r>
      <w:r w:rsidR="003B2359">
        <w:rPr>
          <w:b/>
        </w:rPr>
        <w:t>Helen</w:t>
      </w:r>
      <w:r w:rsidRPr="00075482">
        <w:rPr>
          <w:b/>
        </w:rPr>
        <w:t>, GA</w:t>
      </w:r>
    </w:p>
    <w:p w:rsidR="00E873E8" w:rsidRPr="00075482" w:rsidRDefault="00E873E8" w:rsidP="00913AFF">
      <w:pPr>
        <w:spacing w:after="0"/>
        <w:rPr>
          <w:b/>
        </w:rPr>
      </w:pPr>
    </w:p>
    <w:p w:rsidR="00075482" w:rsidRDefault="00075482" w:rsidP="00913AFF">
      <w:pPr>
        <w:spacing w:after="0"/>
      </w:pPr>
      <w:r>
        <w:t>Attending:</w:t>
      </w:r>
      <w:r w:rsidR="008D5217">
        <w:t xml:space="preserve"> </w:t>
      </w:r>
      <w:r w:rsidR="00D00604">
        <w:t xml:space="preserve">Mike </w:t>
      </w:r>
      <w:proofErr w:type="spellStart"/>
      <w:r w:rsidR="00D00604">
        <w:t>Toews</w:t>
      </w:r>
      <w:proofErr w:type="spellEnd"/>
      <w:r w:rsidR="0089440B">
        <w:t xml:space="preserve"> (</w:t>
      </w:r>
      <w:r w:rsidR="004F12D0">
        <w:t>Past-</w:t>
      </w:r>
      <w:r w:rsidR="0089440B">
        <w:t xml:space="preserve">President), </w:t>
      </w:r>
      <w:r w:rsidR="00D00604">
        <w:t>Dan Suiter</w:t>
      </w:r>
      <w:r w:rsidR="008D5217">
        <w:t xml:space="preserve"> (President),</w:t>
      </w:r>
      <w:r>
        <w:t xml:space="preserve"> </w:t>
      </w:r>
      <w:r w:rsidR="007C3E2B">
        <w:t>Stan Diffie</w:t>
      </w:r>
      <w:r>
        <w:t xml:space="preserve"> (Secretary-Treasurer)</w:t>
      </w:r>
      <w:r w:rsidR="00AA575C">
        <w:t xml:space="preserve">, </w:t>
      </w:r>
      <w:r w:rsidR="00D00604">
        <w:t xml:space="preserve">Ed </w:t>
      </w:r>
      <w:proofErr w:type="spellStart"/>
      <w:r w:rsidR="00D00604">
        <w:t>Mondor</w:t>
      </w:r>
      <w:proofErr w:type="spellEnd"/>
      <w:r w:rsidR="008D5217">
        <w:t xml:space="preserve"> (President-Elect), </w:t>
      </w:r>
      <w:r w:rsidR="00D00604">
        <w:t xml:space="preserve">Brett </w:t>
      </w:r>
      <w:proofErr w:type="spellStart"/>
      <w:r w:rsidR="00D00604">
        <w:t>Blaauw</w:t>
      </w:r>
      <w:proofErr w:type="spellEnd"/>
      <w:r w:rsidR="00AA575C">
        <w:t xml:space="preserve"> (201</w:t>
      </w:r>
      <w:r w:rsidR="00D00604">
        <w:t>8</w:t>
      </w:r>
      <w:r w:rsidR="00AA575C">
        <w:t xml:space="preserve"> Site Selection), </w:t>
      </w:r>
      <w:r w:rsidR="00D00604">
        <w:t xml:space="preserve">Marianne Shockley (2018 Site Selection) </w:t>
      </w:r>
      <w:r w:rsidR="00C67375">
        <w:t>Wayne Gardner</w:t>
      </w:r>
      <w:r w:rsidR="008D5217">
        <w:t xml:space="preserve"> (JES), </w:t>
      </w:r>
      <w:r w:rsidR="00C67375">
        <w:t>Nancy Hinkle (Historian)</w:t>
      </w:r>
      <w:r w:rsidR="00D00604">
        <w:t>, Livy Williams (South Carolina), and Alvin Simmons (South Carolina)</w:t>
      </w:r>
      <w:r w:rsidR="008D5217">
        <w:t>.</w:t>
      </w:r>
    </w:p>
    <w:p w:rsidR="00913AFF" w:rsidRDefault="00913AFF" w:rsidP="00913AFF">
      <w:pPr>
        <w:spacing w:after="0"/>
      </w:pPr>
    </w:p>
    <w:p w:rsidR="004F12D0" w:rsidRDefault="004F12D0" w:rsidP="008575AD">
      <w:pPr>
        <w:spacing w:after="0"/>
      </w:pPr>
      <w:r>
        <w:t>General Comments</w:t>
      </w:r>
      <w:r w:rsidR="008575AD">
        <w:t xml:space="preserve"> (</w:t>
      </w:r>
      <w:r w:rsidR="00D00604">
        <w:t>Dan Suiter</w:t>
      </w:r>
      <w:r w:rsidR="008575AD">
        <w:t>) –</w:t>
      </w:r>
      <w:r w:rsidR="00D00604">
        <w:t xml:space="preserve">Welcomed everyone to the meeting and turned the session over to Wayne Gardener.  </w:t>
      </w:r>
    </w:p>
    <w:p w:rsidR="00D00604" w:rsidRDefault="00D00604" w:rsidP="008575AD">
      <w:pPr>
        <w:spacing w:after="0"/>
      </w:pPr>
    </w:p>
    <w:p w:rsidR="00D00604" w:rsidRDefault="00D00604" w:rsidP="00D00604">
      <w:pPr>
        <w:spacing w:after="0"/>
      </w:pPr>
      <w:r>
        <w:t>Journal of Entomological Science Annual Report (Wayne Gardner)—</w:t>
      </w:r>
      <w:proofErr w:type="gramStart"/>
      <w:r w:rsidR="00950C04">
        <w:t>In</w:t>
      </w:r>
      <w:proofErr w:type="gramEnd"/>
      <w:r w:rsidR="00950C04">
        <w:t xml:space="preserve"> 2017, the JES received 147 s</w:t>
      </w:r>
      <w:r>
        <w:t xml:space="preserve">ubmissions </w:t>
      </w:r>
      <w:r w:rsidR="00950C04">
        <w:t xml:space="preserve">compared to 62 in 2016.  Prior to the move to an on-line association with </w:t>
      </w:r>
      <w:proofErr w:type="spellStart"/>
      <w:r>
        <w:t>BioOne</w:t>
      </w:r>
      <w:proofErr w:type="spellEnd"/>
      <w:r w:rsidR="00950C04">
        <w:t xml:space="preserve">, the average number of submissions was about 45 annually.  The increase in submissions has been both positive and negative.  The impact factor for the journal has increased due to the increase in submissions and because the acceptance rate for the journal last year was 55% as compared to 75% in the past.  On the negative side, the journal has to pay $31 for each submission regardless of the quality of the paper/note.   </w:t>
      </w:r>
      <w:r>
        <w:t xml:space="preserve"> </w:t>
      </w:r>
      <w:r w:rsidR="00950C04">
        <w:t xml:space="preserve">At the 2017 meeting, the journal reported assets of $25,000 and this year that figure is $8000 with an expected check of $11,000 due from </w:t>
      </w:r>
      <w:proofErr w:type="spellStart"/>
      <w:r w:rsidR="00950C04">
        <w:t>BioOne</w:t>
      </w:r>
      <w:proofErr w:type="spellEnd"/>
      <w:r w:rsidR="00950C04">
        <w:t xml:space="preserve">.  It is still the goal of the JES </w:t>
      </w:r>
      <w:r>
        <w:t xml:space="preserve">to reduce and possibly eliminate print copies.  </w:t>
      </w:r>
    </w:p>
    <w:p w:rsidR="00D00604" w:rsidRDefault="00D00604" w:rsidP="008575AD">
      <w:pPr>
        <w:spacing w:after="0"/>
      </w:pPr>
    </w:p>
    <w:p w:rsidR="0050799C" w:rsidRDefault="0050799C" w:rsidP="0050799C">
      <w:pPr>
        <w:spacing w:after="0"/>
      </w:pPr>
      <w:r>
        <w:t xml:space="preserve">Local Arrangements Report (Brett </w:t>
      </w:r>
      <w:proofErr w:type="spellStart"/>
      <w:r>
        <w:t>Blaauw</w:t>
      </w:r>
      <w:proofErr w:type="spellEnd"/>
      <w:r w:rsidR="003D4CA5">
        <w:t xml:space="preserve"> and Marianne Shockley</w:t>
      </w:r>
      <w:r>
        <w:t xml:space="preserve">) – </w:t>
      </w:r>
      <w:r w:rsidR="003D4CA5">
        <w:t xml:space="preserve">Breakfast pastries will be served during the AM breaks and brownies and cookies during the Thursday PM break.  Brett set up a computer next to the registration desk Wednesday afternoon.  The push to get talks pre-loaded yielded </w:t>
      </w:r>
      <w:proofErr w:type="gramStart"/>
      <w:r w:rsidR="003D4CA5">
        <w:t>7</w:t>
      </w:r>
      <w:proofErr w:type="gramEnd"/>
      <w:r w:rsidR="003D4CA5">
        <w:t xml:space="preserve"> people loading their talks during the registration period.  Phillip Roberts brought the poster boards from Tifton and completed the task of setting up the boards.  </w:t>
      </w:r>
      <w:r>
        <w:t>T</w:t>
      </w:r>
      <w:r w:rsidR="003D4CA5">
        <w:t xml:space="preserve">otal cost of the meeting </w:t>
      </w:r>
      <w:proofErr w:type="gramStart"/>
      <w:r w:rsidR="003D4CA5">
        <w:t>had not been finalized</w:t>
      </w:r>
      <w:proofErr w:type="gramEnd"/>
      <w:r w:rsidR="003D4CA5">
        <w:t xml:space="preserve"> as of the time of the executive meeting.  </w:t>
      </w:r>
    </w:p>
    <w:p w:rsidR="0050799C" w:rsidRDefault="0050799C" w:rsidP="0050799C">
      <w:pPr>
        <w:spacing w:after="0"/>
      </w:pPr>
    </w:p>
    <w:p w:rsidR="003D4CA5" w:rsidRDefault="003D4CA5" w:rsidP="003D4CA5">
      <w:pPr>
        <w:spacing w:after="0"/>
      </w:pPr>
      <w:r>
        <w:t xml:space="preserve">Program Committee (Ed </w:t>
      </w:r>
      <w:proofErr w:type="spellStart"/>
      <w:r>
        <w:t>Mondor</w:t>
      </w:r>
      <w:proofErr w:type="spellEnd"/>
      <w:r>
        <w:t xml:space="preserve">) –There were 145 copies of the program printed (up from 100 last year).  There are 43 posters and 27 talk scheduled this year.  </w:t>
      </w:r>
      <w:r w:rsidR="00150CD8">
        <w:t xml:space="preserve">Because of time constraints, some of the requests to present papers </w:t>
      </w:r>
      <w:proofErr w:type="gramStart"/>
      <w:r w:rsidR="00150CD8">
        <w:t>were moved</w:t>
      </w:r>
      <w:proofErr w:type="gramEnd"/>
      <w:r w:rsidR="00150CD8">
        <w:t xml:space="preserve"> to the poster session.  </w:t>
      </w:r>
      <w:r>
        <w:t xml:space="preserve">The Founders Award is in honor of Herb Womack but none of his family members will </w:t>
      </w:r>
      <w:proofErr w:type="gramStart"/>
      <w:r>
        <w:t>be in attendance</w:t>
      </w:r>
      <w:proofErr w:type="gramEnd"/>
      <w:r>
        <w:t xml:space="preserve">.  Phillip Roberts has agreed to meet with the family in Tifton at a later date and give the same presentation he will give Thursday morning.  </w:t>
      </w:r>
    </w:p>
    <w:p w:rsidR="003D4CA5" w:rsidRDefault="003D4CA5" w:rsidP="0050799C">
      <w:pPr>
        <w:spacing w:after="0"/>
      </w:pPr>
    </w:p>
    <w:p w:rsidR="007C2951" w:rsidRDefault="007C2951" w:rsidP="007C2951">
      <w:pPr>
        <w:spacing w:after="0"/>
      </w:pPr>
      <w:r>
        <w:t xml:space="preserve">Site Selection (Ed </w:t>
      </w:r>
      <w:proofErr w:type="spellStart"/>
      <w:r>
        <w:t>Mondor</w:t>
      </w:r>
      <w:proofErr w:type="spellEnd"/>
      <w:r>
        <w:t xml:space="preserve">) – There are still several options for the 2019 meeting.  The UGA Athens Conference Center was on the list but will be very expensive (~$9000) so it was eliminated.  Sea Palms on St. Simons was a viable option until the last hurricane damaged the rooms.  The Holiday Inn in Statesboro is reasonably priced and is an option.  Lake Blackshear State Park in Cordele is an option but </w:t>
      </w:r>
      <w:r>
        <w:lastRenderedPageBreak/>
        <w:t xml:space="preserve">is not as flexible with dates.  And, Villas by the Sea is still an option.  They are willing to work with us as they have in the past.  A suggestion from the floor was the UGA Bamboo Farm in Savannah.  Since Ed had no details on this venue, there was very little discussion to compare it to the other choices.  </w:t>
      </w:r>
    </w:p>
    <w:p w:rsidR="007C2951" w:rsidRDefault="007C2951" w:rsidP="007C2951">
      <w:pPr>
        <w:spacing w:after="0"/>
      </w:pPr>
    </w:p>
    <w:p w:rsidR="0050799C" w:rsidRDefault="0050799C" w:rsidP="0050799C">
      <w:pPr>
        <w:spacing w:after="0"/>
      </w:pPr>
      <w:r>
        <w:t>Financial Report (Stan Diffie) – The financial report for 201</w:t>
      </w:r>
      <w:r w:rsidR="002762F6">
        <w:t>7</w:t>
      </w:r>
      <w:r>
        <w:t xml:space="preserve"> was presented (attached)</w:t>
      </w:r>
      <w:r w:rsidR="009606EF">
        <w:t xml:space="preserve"> to the committee</w:t>
      </w:r>
      <w:r>
        <w:t xml:space="preserve">.  There was a </w:t>
      </w:r>
      <w:r w:rsidR="002762F6">
        <w:t>net profit of $375</w:t>
      </w:r>
      <w:r>
        <w:t xml:space="preserve"> last year.</w:t>
      </w:r>
      <w:r w:rsidR="002762F6">
        <w:t xml:space="preserve">  A big factor was the $3100 support generated from the corporate sponsors.  The society is still in good shape financially.</w:t>
      </w:r>
      <w:r>
        <w:t xml:space="preserve">  </w:t>
      </w:r>
    </w:p>
    <w:p w:rsidR="007C2951" w:rsidRDefault="007C2951" w:rsidP="00913AFF">
      <w:pPr>
        <w:spacing w:after="0"/>
      </w:pPr>
    </w:p>
    <w:p w:rsidR="00656CDB" w:rsidRDefault="00656CDB" w:rsidP="00913AFF">
      <w:pPr>
        <w:spacing w:after="0"/>
      </w:pPr>
      <w:r>
        <w:t>Awards Committee (</w:t>
      </w:r>
      <w:r w:rsidR="007C2951">
        <w:t xml:space="preserve">Mike </w:t>
      </w:r>
      <w:proofErr w:type="spellStart"/>
      <w:r w:rsidR="007C2951">
        <w:t>Toews</w:t>
      </w:r>
      <w:proofErr w:type="spellEnd"/>
      <w:r>
        <w:t>)—</w:t>
      </w:r>
      <w:r w:rsidR="007C2951">
        <w:t xml:space="preserve">Only three students submitted applications for the two scholarships.  Conor Fair was selected for the Ph. D award and Kelly Murray will be presented the M.S. award.  Discussion followed as to how best get the word out to the students in order to have a more competitive </w:t>
      </w:r>
      <w:r w:rsidR="002762F6">
        <w:t xml:space="preserve">scholarship.  </w:t>
      </w:r>
      <w:r w:rsidR="007C2951">
        <w:t xml:space="preserve"> </w:t>
      </w:r>
      <w:r>
        <w:t xml:space="preserve">  </w:t>
      </w:r>
    </w:p>
    <w:p w:rsidR="00656CDB" w:rsidRDefault="00656CDB" w:rsidP="00913AFF">
      <w:pPr>
        <w:spacing w:after="0"/>
      </w:pPr>
    </w:p>
    <w:p w:rsidR="00656CDB" w:rsidRDefault="008575AD" w:rsidP="00913AFF">
      <w:pPr>
        <w:spacing w:after="0"/>
      </w:pPr>
      <w:r>
        <w:t>Membership Committee (S</w:t>
      </w:r>
      <w:r w:rsidR="005B0273">
        <w:t>tan Diffie</w:t>
      </w:r>
      <w:r>
        <w:t>)—</w:t>
      </w:r>
      <w:r w:rsidR="005B0273">
        <w:t>Approximately</w:t>
      </w:r>
      <w:r w:rsidR="008D6599">
        <w:t xml:space="preserve"> 2</w:t>
      </w:r>
      <w:r w:rsidR="005B0273">
        <w:t>8</w:t>
      </w:r>
      <w:r w:rsidR="00656CDB">
        <w:t>3</w:t>
      </w:r>
      <w:r w:rsidR="008D6599">
        <w:t xml:space="preserve"> members </w:t>
      </w:r>
      <w:r w:rsidR="005B0273">
        <w:t xml:space="preserve">are </w:t>
      </w:r>
      <w:r w:rsidR="008D6599">
        <w:t>currently on the roll</w:t>
      </w:r>
      <w:r w:rsidR="005B0273">
        <w:t xml:space="preserve"> and </w:t>
      </w:r>
      <w:r w:rsidR="00656CDB">
        <w:t>2</w:t>
      </w:r>
      <w:r w:rsidR="002762F6">
        <w:t>5</w:t>
      </w:r>
      <w:r w:rsidR="008D6599">
        <w:t>% paid dues or attended the meeting in 201</w:t>
      </w:r>
      <w:r w:rsidR="002762F6">
        <w:t>7</w:t>
      </w:r>
      <w:r w:rsidR="008D6599">
        <w:t xml:space="preserve">.  </w:t>
      </w:r>
    </w:p>
    <w:p w:rsidR="00656CDB" w:rsidRDefault="00656CDB" w:rsidP="00913AFF">
      <w:pPr>
        <w:spacing w:after="0"/>
      </w:pPr>
    </w:p>
    <w:p w:rsidR="00193E5F" w:rsidRDefault="00193E5F" w:rsidP="00193E5F">
      <w:pPr>
        <w:spacing w:after="0"/>
      </w:pPr>
      <w:r>
        <w:t>Nominations Committee Report (</w:t>
      </w:r>
      <w:r w:rsidR="00656CDB">
        <w:t xml:space="preserve">Mike </w:t>
      </w:r>
      <w:proofErr w:type="spellStart"/>
      <w:r w:rsidR="00656CDB">
        <w:t>Toews</w:t>
      </w:r>
      <w:proofErr w:type="spellEnd"/>
      <w:r>
        <w:t xml:space="preserve">) – The committee </w:t>
      </w:r>
      <w:r w:rsidR="00280FAE">
        <w:t>asked</w:t>
      </w:r>
      <w:r>
        <w:t xml:space="preserve"> </w:t>
      </w:r>
      <w:r w:rsidR="002762F6">
        <w:t xml:space="preserve">Nancy Hinkle and Ash </w:t>
      </w:r>
      <w:proofErr w:type="spellStart"/>
      <w:r w:rsidR="002762F6">
        <w:t>Sial</w:t>
      </w:r>
      <w:proofErr w:type="spellEnd"/>
      <w:r>
        <w:t xml:space="preserve"> to run for President-Elect.</w:t>
      </w:r>
      <w:r w:rsidR="00280FAE">
        <w:t xml:space="preserve">  </w:t>
      </w:r>
      <w:r w:rsidR="005B0273">
        <w:t xml:space="preserve"> </w:t>
      </w:r>
      <w:r w:rsidR="002762F6">
        <w:t xml:space="preserve">Information sheets </w:t>
      </w:r>
      <w:proofErr w:type="gramStart"/>
      <w:r w:rsidR="002762F6">
        <w:t>were distributed</w:t>
      </w:r>
      <w:proofErr w:type="gramEnd"/>
      <w:r w:rsidR="002762F6">
        <w:t xml:space="preserve"> during registration and b</w:t>
      </w:r>
      <w:r w:rsidR="005B0273">
        <w:t>allots will be distributed during the luncheon.</w:t>
      </w:r>
    </w:p>
    <w:p w:rsidR="00C26E92" w:rsidRDefault="00C26E92" w:rsidP="00913AFF">
      <w:pPr>
        <w:spacing w:after="0"/>
      </w:pPr>
    </w:p>
    <w:p w:rsidR="00C7544E" w:rsidRDefault="00C7544E" w:rsidP="00913AFF">
      <w:pPr>
        <w:spacing w:after="0"/>
      </w:pPr>
    </w:p>
    <w:p w:rsidR="00AB78A7" w:rsidRPr="002A2F2E" w:rsidRDefault="002A2F2E" w:rsidP="00913AFF">
      <w:pPr>
        <w:spacing w:after="0"/>
        <w:rPr>
          <w:b/>
        </w:rPr>
      </w:pPr>
      <w:r w:rsidRPr="002A2F2E">
        <w:rPr>
          <w:b/>
        </w:rPr>
        <w:t>Final Business Meeting Minutes</w:t>
      </w:r>
    </w:p>
    <w:p w:rsidR="00853A05" w:rsidRPr="00075482" w:rsidRDefault="00853A05" w:rsidP="00853A05">
      <w:pPr>
        <w:spacing w:after="0"/>
        <w:rPr>
          <w:b/>
        </w:rPr>
      </w:pPr>
      <w:r w:rsidRPr="00075482">
        <w:rPr>
          <w:b/>
        </w:rPr>
        <w:t xml:space="preserve">April </w:t>
      </w:r>
      <w:r>
        <w:rPr>
          <w:b/>
        </w:rPr>
        <w:t>0</w:t>
      </w:r>
      <w:r w:rsidR="002762F6">
        <w:rPr>
          <w:b/>
        </w:rPr>
        <w:t>6</w:t>
      </w:r>
      <w:r w:rsidRPr="00075482">
        <w:rPr>
          <w:b/>
        </w:rPr>
        <w:t>, 201</w:t>
      </w:r>
      <w:r w:rsidR="002762F6">
        <w:rPr>
          <w:b/>
        </w:rPr>
        <w:t>8</w:t>
      </w:r>
      <w:r w:rsidRPr="00075482">
        <w:rPr>
          <w:b/>
        </w:rPr>
        <w:t xml:space="preserve">. </w:t>
      </w:r>
      <w:r w:rsidR="002762F6">
        <w:rPr>
          <w:b/>
        </w:rPr>
        <w:t>Unicoi State Park, Helen</w:t>
      </w:r>
      <w:r w:rsidRPr="00075482">
        <w:rPr>
          <w:b/>
        </w:rPr>
        <w:t>, GA</w:t>
      </w:r>
    </w:p>
    <w:p w:rsidR="002F4C97" w:rsidRDefault="002F4C97" w:rsidP="00913AFF">
      <w:pPr>
        <w:spacing w:after="0"/>
        <w:rPr>
          <w:b/>
        </w:rPr>
      </w:pPr>
    </w:p>
    <w:p w:rsidR="002F4C97" w:rsidRDefault="00187EE5" w:rsidP="00913AFF">
      <w:pPr>
        <w:spacing w:after="0"/>
      </w:pPr>
      <w:r>
        <w:t>Dan Suiter</w:t>
      </w:r>
      <w:r w:rsidR="002F4C97">
        <w:t xml:space="preserve"> presided over the Final Business Meeting of the </w:t>
      </w:r>
      <w:r w:rsidR="00204793">
        <w:t>8</w:t>
      </w:r>
      <w:r>
        <w:t>2nd</w:t>
      </w:r>
      <w:r w:rsidR="002F4C97">
        <w:t xml:space="preserve"> annual GES meeting.  </w:t>
      </w:r>
      <w:r>
        <w:t>Dan</w:t>
      </w:r>
      <w:r w:rsidR="002F4C97">
        <w:t xml:space="preserve"> </w:t>
      </w:r>
      <w:r w:rsidR="00204793">
        <w:t xml:space="preserve">acknowledged the work </w:t>
      </w:r>
      <w:r>
        <w:t xml:space="preserve">of Ed </w:t>
      </w:r>
      <w:proofErr w:type="spellStart"/>
      <w:r>
        <w:t>Mondor</w:t>
      </w:r>
      <w:proofErr w:type="spellEnd"/>
      <w:r w:rsidR="008C389B">
        <w:t xml:space="preserve"> as Program Chair.  </w:t>
      </w:r>
    </w:p>
    <w:p w:rsidR="00187EE5" w:rsidRDefault="00187EE5" w:rsidP="00913AFF">
      <w:pPr>
        <w:spacing w:after="0"/>
      </w:pPr>
    </w:p>
    <w:p w:rsidR="00120B50" w:rsidRDefault="00204793" w:rsidP="00641CD1">
      <w:pPr>
        <w:spacing w:after="0"/>
      </w:pPr>
      <w:r>
        <w:t>The r</w:t>
      </w:r>
      <w:r w:rsidR="00120B50">
        <w:t>eading of the 201</w:t>
      </w:r>
      <w:r w:rsidR="00187EE5">
        <w:t>7</w:t>
      </w:r>
      <w:r w:rsidR="00120B50">
        <w:t xml:space="preserve"> Minutes </w:t>
      </w:r>
      <w:proofErr w:type="gramStart"/>
      <w:r w:rsidR="00120B50">
        <w:t>w</w:t>
      </w:r>
      <w:r>
        <w:t>as</w:t>
      </w:r>
      <w:r w:rsidR="00120B50">
        <w:t xml:space="preserve"> waived by a motion from </w:t>
      </w:r>
      <w:r w:rsidR="00187EE5">
        <w:t>Nancy Hinkle</w:t>
      </w:r>
      <w:r w:rsidR="00693988">
        <w:t xml:space="preserve"> and seconded by </w:t>
      </w:r>
      <w:r w:rsidR="00187EE5">
        <w:t>Phillip Roberts</w:t>
      </w:r>
      <w:proofErr w:type="gramEnd"/>
      <w:r w:rsidR="00120B50">
        <w:t>.</w:t>
      </w:r>
    </w:p>
    <w:p w:rsidR="00187EE5" w:rsidRDefault="00187EE5" w:rsidP="00641CD1">
      <w:pPr>
        <w:spacing w:after="0"/>
      </w:pPr>
    </w:p>
    <w:p w:rsidR="00187EE5" w:rsidRDefault="00187EE5" w:rsidP="00641CD1">
      <w:pPr>
        <w:spacing w:after="0"/>
      </w:pPr>
      <w:r>
        <w:t xml:space="preserve">Audit Report (Stormy Sparks) – In </w:t>
      </w:r>
      <w:proofErr w:type="spellStart"/>
      <w:r>
        <w:t>Stormy’s</w:t>
      </w:r>
      <w:proofErr w:type="spellEnd"/>
      <w:r>
        <w:t xml:space="preserve"> absence, Stan Diffie provided an overview of the report.  The report stated that the books of the Society </w:t>
      </w:r>
      <w:proofErr w:type="gramStart"/>
      <w:r>
        <w:t>were found</w:t>
      </w:r>
      <w:proofErr w:type="gramEnd"/>
      <w:r>
        <w:t xml:space="preserve"> to be in good order.  The report </w:t>
      </w:r>
      <w:proofErr w:type="gramStart"/>
      <w:r>
        <w:t>is attached</w:t>
      </w:r>
      <w:proofErr w:type="gramEnd"/>
      <w:r>
        <w:t>.</w:t>
      </w:r>
    </w:p>
    <w:p w:rsidR="00120B50" w:rsidRDefault="00120B50" w:rsidP="00641CD1">
      <w:pPr>
        <w:spacing w:after="0"/>
      </w:pPr>
    </w:p>
    <w:p w:rsidR="00641CD1" w:rsidRDefault="00641CD1" w:rsidP="00641CD1">
      <w:pPr>
        <w:spacing w:after="0"/>
      </w:pPr>
      <w:r>
        <w:t>Secretary/Treasurers Report (Stan Diffie) – The financial report covering activity in 201</w:t>
      </w:r>
      <w:r w:rsidR="009606EF">
        <w:t xml:space="preserve">7 </w:t>
      </w:r>
      <w:proofErr w:type="gramStart"/>
      <w:r w:rsidR="009606EF">
        <w:t>is attached</w:t>
      </w:r>
      <w:proofErr w:type="gramEnd"/>
      <w:r w:rsidR="009606EF">
        <w:t xml:space="preserve"> and </w:t>
      </w:r>
      <w:r>
        <w:t xml:space="preserve">was distributed and discussed. </w:t>
      </w:r>
      <w:r w:rsidR="00204793">
        <w:t xml:space="preserve"> </w:t>
      </w:r>
      <w:r>
        <w:t xml:space="preserve">Stan Diffie </w:t>
      </w:r>
      <w:r w:rsidR="00120B50">
        <w:t>reported a</w:t>
      </w:r>
      <w:r w:rsidR="002B48FB">
        <w:t>n</w:t>
      </w:r>
      <w:r w:rsidR="00120B50">
        <w:t xml:space="preserve"> </w:t>
      </w:r>
      <w:r w:rsidR="002B48FB">
        <w:t xml:space="preserve">operating </w:t>
      </w:r>
      <w:r w:rsidR="009606EF">
        <w:t>profit</w:t>
      </w:r>
      <w:r w:rsidR="00693988">
        <w:t xml:space="preserve"> of $</w:t>
      </w:r>
      <w:r w:rsidR="009606EF">
        <w:t>37</w:t>
      </w:r>
      <w:r w:rsidR="00693988">
        <w:t>4</w:t>
      </w:r>
      <w:r w:rsidR="002B48FB">
        <w:t xml:space="preserve"> for 201</w:t>
      </w:r>
      <w:r w:rsidR="009606EF">
        <w:t>7</w:t>
      </w:r>
      <w:r w:rsidR="00693988">
        <w:t xml:space="preserve"> due to the </w:t>
      </w:r>
      <w:r w:rsidR="009606EF">
        <w:t>support of industry</w:t>
      </w:r>
      <w:r w:rsidR="00693988">
        <w:t>.  The society currently has $6</w:t>
      </w:r>
      <w:r w:rsidR="009606EF">
        <w:t>3</w:t>
      </w:r>
      <w:r w:rsidR="00693988">
        <w:t>,000 in reserves.</w:t>
      </w:r>
      <w:r w:rsidR="009606EF">
        <w:t xml:space="preserve">  Will Hudson motioned to accept the report and Ed </w:t>
      </w:r>
      <w:proofErr w:type="spellStart"/>
      <w:r w:rsidR="009606EF">
        <w:t>Mondor</w:t>
      </w:r>
      <w:proofErr w:type="spellEnd"/>
      <w:r w:rsidR="009606EF">
        <w:t xml:space="preserve"> seconded the motion.</w:t>
      </w:r>
      <w:r w:rsidR="00693988">
        <w:t xml:space="preserve">  </w:t>
      </w:r>
    </w:p>
    <w:p w:rsidR="00150CD8" w:rsidRDefault="00150CD8" w:rsidP="00641CD1">
      <w:pPr>
        <w:spacing w:after="0"/>
      </w:pPr>
    </w:p>
    <w:p w:rsidR="00150CD8" w:rsidRDefault="00150CD8" w:rsidP="00641CD1">
      <w:pPr>
        <w:spacing w:after="0"/>
      </w:pPr>
      <w:r>
        <w:t xml:space="preserve">There were </w:t>
      </w:r>
      <w:r w:rsidR="003F1C87">
        <w:t xml:space="preserve">over </w:t>
      </w:r>
      <w:r>
        <w:t>11</w:t>
      </w:r>
      <w:r w:rsidR="003F1C87">
        <w:t>0</w:t>
      </w:r>
      <w:r>
        <w:t xml:space="preserve"> registrants for the 2018 meeting.  </w:t>
      </w:r>
      <w:r w:rsidR="003F1C87">
        <w:t>This was the largest number of attendees in several years</w:t>
      </w:r>
      <w:r w:rsidR="003F1C87">
        <w:t xml:space="preserve"> with 59 regular members, 35 students, 9 retirees</w:t>
      </w:r>
      <w:bookmarkStart w:id="0" w:name="_GoBack"/>
      <w:bookmarkEnd w:id="0"/>
      <w:r w:rsidR="003F1C87">
        <w:t>, and 9 spouses</w:t>
      </w:r>
      <w:r w:rsidR="003F1C87">
        <w:t>.</w:t>
      </w:r>
      <w:r w:rsidR="003F1C87">
        <w:t xml:space="preserve">  </w:t>
      </w:r>
      <w:r>
        <w:t xml:space="preserve">Approximately 20 people registered from the South Carolina Entomological Society.  </w:t>
      </w:r>
    </w:p>
    <w:p w:rsidR="00641CD1" w:rsidRDefault="00641CD1" w:rsidP="00913AFF">
      <w:pPr>
        <w:spacing w:after="0"/>
      </w:pPr>
    </w:p>
    <w:p w:rsidR="00120B50" w:rsidRDefault="00120B50" w:rsidP="00913AFF">
      <w:pPr>
        <w:spacing w:after="0"/>
      </w:pPr>
      <w:r>
        <w:lastRenderedPageBreak/>
        <w:t xml:space="preserve">Insect </w:t>
      </w:r>
      <w:r w:rsidR="007F2639">
        <w:t>Survey</w:t>
      </w:r>
      <w:r>
        <w:t xml:space="preserve"> (</w:t>
      </w:r>
      <w:r w:rsidR="009C4FF6">
        <w:t>Mark Abney</w:t>
      </w:r>
      <w:r>
        <w:t xml:space="preserve">) – </w:t>
      </w:r>
      <w:r w:rsidR="002B48FB">
        <w:t xml:space="preserve">Mark </w:t>
      </w:r>
      <w:r w:rsidR="009C4FF6">
        <w:t>reported on the completion of the 201</w:t>
      </w:r>
      <w:r w:rsidR="009606EF">
        <w:t>7</w:t>
      </w:r>
      <w:r w:rsidR="009C4FF6">
        <w:t xml:space="preserve"> Arthropod Report.  The report will be on the webpage in the near future.  </w:t>
      </w:r>
      <w:r w:rsidR="00AD5272">
        <w:t xml:space="preserve">  </w:t>
      </w:r>
      <w:r>
        <w:t xml:space="preserve">  </w:t>
      </w:r>
    </w:p>
    <w:p w:rsidR="00120B50" w:rsidRDefault="00120B50" w:rsidP="00913AFF">
      <w:pPr>
        <w:spacing w:after="0"/>
      </w:pPr>
    </w:p>
    <w:p w:rsidR="009606EF" w:rsidRDefault="009606EF" w:rsidP="009606EF">
      <w:pPr>
        <w:spacing w:after="0"/>
      </w:pPr>
      <w:r>
        <w:t xml:space="preserve">Fun Run (Dan Suiter) – </w:t>
      </w:r>
      <w:proofErr w:type="gramStart"/>
      <w:r>
        <w:t>Twenty three</w:t>
      </w:r>
      <w:proofErr w:type="gramEnd"/>
      <w:r>
        <w:t xml:space="preserve"> people participated in the Fun Run in the state park.  Only a couple of runners actually challenged the course while most of the participants enjoyed the scenery.  </w:t>
      </w:r>
    </w:p>
    <w:p w:rsidR="009606EF" w:rsidRDefault="009606EF" w:rsidP="009606EF">
      <w:pPr>
        <w:spacing w:after="0"/>
      </w:pPr>
      <w:r>
        <w:t xml:space="preserve">Fishing Tournament (Will Hudson) – Nine participants caught </w:t>
      </w:r>
      <w:proofErr w:type="gramStart"/>
      <w:r>
        <w:t>a total of 4</w:t>
      </w:r>
      <w:proofErr w:type="gramEnd"/>
      <w:r>
        <w:t xml:space="preserve"> trout during the tournament.  George Braman was the winner with a fish measuring 11”.  A tournament held in the area last weekend had over 700 participants.  Will speculated that those participants caught all the trout during that tournament.  </w:t>
      </w:r>
    </w:p>
    <w:p w:rsidR="009606EF" w:rsidRDefault="009606EF" w:rsidP="005B3F05">
      <w:pPr>
        <w:spacing w:after="0"/>
      </w:pPr>
    </w:p>
    <w:p w:rsidR="009606EF" w:rsidRDefault="009606EF" w:rsidP="009606EF">
      <w:pPr>
        <w:spacing w:after="0"/>
      </w:pPr>
      <w:proofErr w:type="spellStart"/>
      <w:r>
        <w:t>Snapp</w:t>
      </w:r>
      <w:proofErr w:type="spellEnd"/>
      <w:r>
        <w:t xml:space="preserve"> Award – The </w:t>
      </w:r>
      <w:proofErr w:type="spellStart"/>
      <w:r>
        <w:t>Snapp</w:t>
      </w:r>
      <w:proofErr w:type="spellEnd"/>
      <w:r>
        <w:t xml:space="preserve"> Award, for best presentation by a regular member, </w:t>
      </w:r>
      <w:proofErr w:type="gramStart"/>
      <w:r>
        <w:t>was presented</w:t>
      </w:r>
      <w:proofErr w:type="gramEnd"/>
      <w:r>
        <w:t xml:space="preserve"> to Mike </w:t>
      </w:r>
      <w:proofErr w:type="spellStart"/>
      <w:r>
        <w:t>Toews</w:t>
      </w:r>
      <w:proofErr w:type="spellEnd"/>
      <w:r>
        <w:t>.</w:t>
      </w:r>
    </w:p>
    <w:p w:rsidR="009606EF" w:rsidRDefault="009606EF" w:rsidP="005B3F05">
      <w:pPr>
        <w:spacing w:after="0"/>
      </w:pPr>
    </w:p>
    <w:p w:rsidR="00851E96" w:rsidRDefault="00851E96" w:rsidP="00851E96">
      <w:pPr>
        <w:spacing w:after="0"/>
      </w:pPr>
      <w:r>
        <w:t xml:space="preserve">Mike </w:t>
      </w:r>
      <w:proofErr w:type="spellStart"/>
      <w:r>
        <w:t>Toews</w:t>
      </w:r>
      <w:proofErr w:type="spellEnd"/>
      <w:r>
        <w:t xml:space="preserve"> announced that both candidates for President-elect ran very clean campaigns with very little fake news.  Ballots were tabulated after lunch on April </w:t>
      </w:r>
      <w:proofErr w:type="gramStart"/>
      <w:r>
        <w:t>5</w:t>
      </w:r>
      <w:r w:rsidRPr="00851E96">
        <w:rPr>
          <w:vertAlign w:val="superscript"/>
        </w:rPr>
        <w:t>th</w:t>
      </w:r>
      <w:proofErr w:type="gramEnd"/>
      <w:r>
        <w:t xml:space="preserve"> and Nancy Hinkle was declared the winner.  </w:t>
      </w:r>
    </w:p>
    <w:p w:rsidR="009606EF" w:rsidRDefault="009606EF" w:rsidP="005B3F05">
      <w:pPr>
        <w:spacing w:after="0"/>
      </w:pPr>
    </w:p>
    <w:p w:rsidR="00851E96" w:rsidRDefault="00851E96" w:rsidP="00851E96">
      <w:pPr>
        <w:spacing w:after="0"/>
      </w:pPr>
      <w:r>
        <w:t xml:space="preserve">Resolutions (David Buntin) – David moved to not read the resolutions but just have them included in the minutes on the website (attached). </w:t>
      </w:r>
    </w:p>
    <w:p w:rsidR="00851E96" w:rsidRDefault="00851E96" w:rsidP="005B3F05">
      <w:pPr>
        <w:spacing w:after="0"/>
      </w:pPr>
    </w:p>
    <w:p w:rsidR="00851E96" w:rsidRDefault="00851E96" w:rsidP="00851E96">
      <w:pPr>
        <w:spacing w:after="0"/>
      </w:pPr>
      <w:proofErr w:type="spellStart"/>
      <w:proofErr w:type="gramStart"/>
      <w:r>
        <w:t>Necrologist</w:t>
      </w:r>
      <w:proofErr w:type="spellEnd"/>
      <w:r>
        <w:t xml:space="preserve">  Report</w:t>
      </w:r>
      <w:proofErr w:type="gramEnd"/>
      <w:r>
        <w:t xml:space="preserve"> (Stan Diffie)—there were no deaths to be reported since the last meeting.</w:t>
      </w:r>
    </w:p>
    <w:p w:rsidR="000F0899" w:rsidRDefault="000F0899" w:rsidP="003A0ECE">
      <w:pPr>
        <w:spacing w:after="0"/>
      </w:pPr>
    </w:p>
    <w:p w:rsidR="00851E96" w:rsidRDefault="005B3F05" w:rsidP="004E70C9">
      <w:pPr>
        <w:spacing w:after="0"/>
      </w:pPr>
      <w:r>
        <w:t>New Business—</w:t>
      </w:r>
      <w:r w:rsidR="00851E96">
        <w:t xml:space="preserve">Frank French suggested that in addition to the past Presidents listed in the program, past Secretary/Treasurers, Journal Editors, and Historians </w:t>
      </w:r>
      <w:proofErr w:type="gramStart"/>
      <w:r w:rsidR="00851E96">
        <w:t>should be listed</w:t>
      </w:r>
      <w:proofErr w:type="gramEnd"/>
      <w:r w:rsidR="00851E96">
        <w:t xml:space="preserve">.  Ed </w:t>
      </w:r>
      <w:proofErr w:type="spellStart"/>
      <w:r w:rsidR="00851E96">
        <w:t>Mondor</w:t>
      </w:r>
      <w:proofErr w:type="spellEnd"/>
      <w:r w:rsidR="00851E96">
        <w:t xml:space="preserve"> agreed with the idea but said the increase in pages would increase the costs.  A better solution would be to list the people on the website.</w:t>
      </w:r>
    </w:p>
    <w:p w:rsidR="00851E96" w:rsidRDefault="00851E96" w:rsidP="004E70C9">
      <w:pPr>
        <w:spacing w:after="0"/>
      </w:pPr>
    </w:p>
    <w:p w:rsidR="0052143A" w:rsidRDefault="00851E96" w:rsidP="004E70C9">
      <w:pPr>
        <w:spacing w:after="0"/>
      </w:pPr>
      <w:r>
        <w:t>Jean Liu asked if it would be possible for the students to receive feedback from their talks.  There seemed to be positive feedback from this suggestion.</w:t>
      </w:r>
    </w:p>
    <w:p w:rsidR="0052143A" w:rsidRDefault="0052143A" w:rsidP="004E70C9">
      <w:pPr>
        <w:spacing w:after="0"/>
      </w:pPr>
    </w:p>
    <w:p w:rsidR="0052143A" w:rsidRDefault="0052143A" w:rsidP="004E70C9">
      <w:pPr>
        <w:spacing w:after="0"/>
      </w:pPr>
      <w:r>
        <w:t xml:space="preserve">Dan Hagan asked that ALL winners be included on the website, not just the first place winners.  Mike </w:t>
      </w:r>
      <w:proofErr w:type="spellStart"/>
      <w:r>
        <w:t>Toews</w:t>
      </w:r>
      <w:proofErr w:type="spellEnd"/>
      <w:r>
        <w:t xml:space="preserve"> (webmaster) indicated this would be possible.</w:t>
      </w:r>
    </w:p>
    <w:p w:rsidR="0052143A" w:rsidRDefault="0052143A" w:rsidP="004E70C9">
      <w:pPr>
        <w:spacing w:after="0"/>
      </w:pPr>
    </w:p>
    <w:p w:rsidR="005B3F05" w:rsidRDefault="0052143A" w:rsidP="004E70C9">
      <w:pPr>
        <w:spacing w:after="0"/>
      </w:pPr>
      <w:r>
        <w:t xml:space="preserve">Ash </w:t>
      </w:r>
      <w:proofErr w:type="spellStart"/>
      <w:r>
        <w:t>Sial</w:t>
      </w:r>
      <w:proofErr w:type="spellEnd"/>
      <w:r>
        <w:t xml:space="preserve"> suggested the establishment of a new award for undergraduates instead of having them compete with the M. S. students.  He made a motion to this effect and Mark Abney seconded the motion.</w:t>
      </w:r>
      <w:r w:rsidR="00851E96">
        <w:t xml:space="preserve"> </w:t>
      </w:r>
    </w:p>
    <w:p w:rsidR="0052143A" w:rsidRDefault="0052143A" w:rsidP="0052143A">
      <w:pPr>
        <w:spacing w:after="0"/>
      </w:pPr>
    </w:p>
    <w:p w:rsidR="0052143A" w:rsidRDefault="0052143A" w:rsidP="0052143A">
      <w:pPr>
        <w:spacing w:after="0"/>
      </w:pPr>
      <w:r>
        <w:t xml:space="preserve">Site Selection (Ed </w:t>
      </w:r>
      <w:proofErr w:type="spellStart"/>
      <w:r>
        <w:t>Mondor</w:t>
      </w:r>
      <w:proofErr w:type="spellEnd"/>
      <w:r>
        <w:t xml:space="preserve">) –The options for the 2019 meeting included Statesboro, Jekyll Island, Lake Blackshear, and the UGA Bamboo Farm.  Pros and cons of each venue </w:t>
      </w:r>
      <w:proofErr w:type="gramStart"/>
      <w:r>
        <w:t>were discussed</w:t>
      </w:r>
      <w:proofErr w:type="gramEnd"/>
      <w:r>
        <w:t xml:space="preserve">.  A hand vote </w:t>
      </w:r>
      <w:proofErr w:type="gramStart"/>
      <w:r>
        <w:t>was taken</w:t>
      </w:r>
      <w:proofErr w:type="gramEnd"/>
      <w:r>
        <w:t xml:space="preserve"> and the overwhelming choice was a return to Jekyll Island.  Because of a conflict the first week in April, Ed </w:t>
      </w:r>
      <w:proofErr w:type="spellStart"/>
      <w:r>
        <w:t>Mondor</w:t>
      </w:r>
      <w:proofErr w:type="spellEnd"/>
      <w:r>
        <w:t xml:space="preserve"> will not be able to attend if the meeting </w:t>
      </w:r>
      <w:proofErr w:type="gramStart"/>
      <w:r>
        <w:t>is held</w:t>
      </w:r>
      <w:proofErr w:type="gramEnd"/>
      <w:r>
        <w:t xml:space="preserve"> that week.  Since Ed is President and local arrangements chair, it </w:t>
      </w:r>
      <w:proofErr w:type="gramStart"/>
      <w:r>
        <w:t>was agreed</w:t>
      </w:r>
      <w:proofErr w:type="gramEnd"/>
      <w:r>
        <w:t xml:space="preserve"> to move the meeting one week forward or backward.  </w:t>
      </w:r>
    </w:p>
    <w:p w:rsidR="005B3F05" w:rsidRDefault="005B3F05" w:rsidP="004E70C9">
      <w:pPr>
        <w:spacing w:after="0"/>
      </w:pPr>
    </w:p>
    <w:p w:rsidR="000C1D0D" w:rsidRDefault="0052143A" w:rsidP="00913AFF">
      <w:pPr>
        <w:spacing w:after="0"/>
      </w:pPr>
      <w:r>
        <w:t>Dan Suiter</w:t>
      </w:r>
      <w:r w:rsidR="000C1D0D">
        <w:t xml:space="preserve"> passed the President’s gavel to </w:t>
      </w:r>
      <w:r>
        <w:t xml:space="preserve">Ed </w:t>
      </w:r>
      <w:proofErr w:type="spellStart"/>
      <w:r>
        <w:t>Mondor</w:t>
      </w:r>
      <w:proofErr w:type="spellEnd"/>
      <w:r w:rsidR="000C1D0D">
        <w:t>.</w:t>
      </w:r>
    </w:p>
    <w:p w:rsidR="007F2639" w:rsidRDefault="007F2639" w:rsidP="00913AFF">
      <w:pPr>
        <w:spacing w:after="0"/>
      </w:pPr>
    </w:p>
    <w:p w:rsidR="007F2639" w:rsidRDefault="0052143A" w:rsidP="00913AFF">
      <w:pPr>
        <w:spacing w:after="0"/>
      </w:pPr>
      <w:r>
        <w:t xml:space="preserve">Ed </w:t>
      </w:r>
      <w:proofErr w:type="spellStart"/>
      <w:r>
        <w:t>Mondor</w:t>
      </w:r>
      <w:proofErr w:type="spellEnd"/>
      <w:r w:rsidR="00C7465E">
        <w:t xml:space="preserve"> </w:t>
      </w:r>
      <w:r w:rsidR="006E6C4D">
        <w:t xml:space="preserve">presented </w:t>
      </w:r>
      <w:r>
        <w:t xml:space="preserve">Dan Suiter </w:t>
      </w:r>
      <w:r w:rsidR="006E6C4D">
        <w:t>a plaque in gratitude for his service as GES President.</w:t>
      </w:r>
    </w:p>
    <w:p w:rsidR="00102FDF" w:rsidRDefault="00102FDF" w:rsidP="00913AFF">
      <w:pPr>
        <w:spacing w:after="0"/>
      </w:pPr>
    </w:p>
    <w:p w:rsidR="006E6C4D" w:rsidRDefault="005B3F05" w:rsidP="00913AFF">
      <w:pPr>
        <w:spacing w:after="0"/>
      </w:pPr>
      <w:r>
        <w:t xml:space="preserve">Phillip Roberts motioned to </w:t>
      </w:r>
      <w:r w:rsidR="006E6C4D">
        <w:t>adjourn</w:t>
      </w:r>
      <w:r>
        <w:t xml:space="preserve"> and </w:t>
      </w:r>
      <w:r w:rsidR="0052143A">
        <w:t>Mark Abney</w:t>
      </w:r>
      <w:r>
        <w:t xml:space="preserve"> seconded the motion</w:t>
      </w:r>
      <w:r w:rsidR="006E6C4D">
        <w:t>.</w:t>
      </w:r>
    </w:p>
    <w:p w:rsidR="006E6C4D" w:rsidRDefault="006E6C4D" w:rsidP="00913AFF">
      <w:pPr>
        <w:spacing w:after="0"/>
      </w:pPr>
    </w:p>
    <w:p w:rsidR="0042676A" w:rsidRDefault="000B4518" w:rsidP="00913AFF">
      <w:pPr>
        <w:spacing w:after="0"/>
      </w:pPr>
      <w:r>
        <w:br/>
      </w:r>
    </w:p>
    <w:p w:rsidR="00922554" w:rsidRDefault="00922554">
      <w:pPr>
        <w:rPr>
          <w:b/>
          <w:sz w:val="24"/>
          <w:szCs w:val="24"/>
        </w:rPr>
      </w:pPr>
      <w:r>
        <w:rPr>
          <w:b/>
          <w:sz w:val="24"/>
          <w:szCs w:val="24"/>
        </w:rPr>
        <w:br w:type="page"/>
      </w:r>
    </w:p>
    <w:p w:rsidR="00DC653F" w:rsidRDefault="00DC653F" w:rsidP="00E873E8">
      <w:pPr>
        <w:jc w:val="center"/>
        <w:rPr>
          <w:b/>
          <w:sz w:val="28"/>
          <w:szCs w:val="28"/>
        </w:rPr>
        <w:sectPr w:rsidR="00DC653F" w:rsidSect="009618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cols w:space="720"/>
          <w:docGrid w:linePitch="360"/>
        </w:sectPr>
      </w:pPr>
    </w:p>
    <w:p w:rsidR="00E873E8" w:rsidRDefault="00E873E8" w:rsidP="00E873E8">
      <w:pPr>
        <w:jc w:val="center"/>
        <w:rPr>
          <w:b/>
          <w:sz w:val="28"/>
          <w:szCs w:val="28"/>
        </w:rPr>
      </w:pPr>
      <w:r w:rsidRPr="00D86D19">
        <w:rPr>
          <w:b/>
          <w:sz w:val="28"/>
          <w:szCs w:val="28"/>
        </w:rPr>
        <w:lastRenderedPageBreak/>
        <w:t>GES Financial Report for period from Dec</w:t>
      </w:r>
      <w:r>
        <w:rPr>
          <w:b/>
          <w:sz w:val="28"/>
          <w:szCs w:val="28"/>
        </w:rPr>
        <w:t>.</w:t>
      </w:r>
      <w:r w:rsidRPr="00D86D19">
        <w:rPr>
          <w:b/>
          <w:sz w:val="28"/>
          <w:szCs w:val="28"/>
        </w:rPr>
        <w:t xml:space="preserve"> 31, 201</w:t>
      </w:r>
      <w:r>
        <w:rPr>
          <w:b/>
          <w:sz w:val="28"/>
          <w:szCs w:val="28"/>
        </w:rPr>
        <w:t>4</w:t>
      </w:r>
      <w:r w:rsidRPr="00D86D19">
        <w:rPr>
          <w:b/>
          <w:sz w:val="28"/>
          <w:szCs w:val="28"/>
        </w:rPr>
        <w:t xml:space="preserve"> through Dec</w:t>
      </w:r>
      <w:r>
        <w:rPr>
          <w:b/>
          <w:sz w:val="28"/>
          <w:szCs w:val="28"/>
        </w:rPr>
        <w:t>.</w:t>
      </w:r>
      <w:r w:rsidRPr="00D86D19">
        <w:rPr>
          <w:b/>
          <w:sz w:val="28"/>
          <w:szCs w:val="28"/>
        </w:rPr>
        <w:t xml:space="preserve"> 31, 201</w:t>
      </w:r>
      <w:r>
        <w:rPr>
          <w:b/>
          <w:sz w:val="28"/>
          <w:szCs w:val="28"/>
        </w:rPr>
        <w:t>7</w:t>
      </w:r>
    </w:p>
    <w:tbl>
      <w:tblPr>
        <w:tblStyle w:val="PlainTable4"/>
        <w:tblW w:w="0" w:type="auto"/>
        <w:tblLook w:val="04A0" w:firstRow="1" w:lastRow="0" w:firstColumn="1" w:lastColumn="0" w:noHBand="0" w:noVBand="1"/>
      </w:tblPr>
      <w:tblGrid>
        <w:gridCol w:w="1041"/>
        <w:gridCol w:w="1877"/>
        <w:gridCol w:w="1355"/>
        <w:gridCol w:w="1056"/>
        <w:gridCol w:w="1056"/>
        <w:gridCol w:w="1056"/>
        <w:gridCol w:w="1056"/>
        <w:gridCol w:w="1056"/>
      </w:tblGrid>
      <w:tr w:rsidR="00E873E8" w:rsidTr="00E873E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r>
              <w:rPr>
                <w:b w:val="0"/>
              </w:rPr>
              <w:t>ASSETS</w:t>
            </w:r>
          </w:p>
        </w:tc>
        <w:tc>
          <w:tcPr>
            <w:tcW w:w="1836" w:type="dxa"/>
            <w:vAlign w:val="bottom"/>
          </w:tcPr>
          <w:p w:rsidR="00E873E8" w:rsidRDefault="00E873E8" w:rsidP="00E873E8">
            <w:pPr>
              <w:cnfStyle w:val="100000000000" w:firstRow="1" w:lastRow="0" w:firstColumn="0" w:lastColumn="0" w:oddVBand="0" w:evenVBand="0" w:oddHBand="0" w:evenHBand="0" w:firstRowFirstColumn="0" w:firstRowLastColumn="0" w:lastRowFirstColumn="0" w:lastRowLastColumn="0"/>
              <w:rPr>
                <w:b w:val="0"/>
              </w:rPr>
            </w:pPr>
          </w:p>
        </w:tc>
        <w:tc>
          <w:tcPr>
            <w:tcW w:w="1327" w:type="dxa"/>
            <w:vAlign w:val="bottom"/>
          </w:tcPr>
          <w:p w:rsidR="00E873E8" w:rsidRDefault="00E873E8" w:rsidP="00E873E8">
            <w:pPr>
              <w:cnfStyle w:val="100000000000" w:firstRow="1" w:lastRow="0" w:firstColumn="0" w:lastColumn="0" w:oddVBand="0" w:evenVBand="0" w:oddHBand="0" w:evenHBand="0" w:firstRowFirstColumn="0" w:firstRowLastColumn="0" w:lastRowFirstColumn="0" w:lastRowLastColumn="0"/>
              <w:rPr>
                <w:b w:val="0"/>
              </w:rPr>
            </w:pPr>
          </w:p>
        </w:tc>
        <w:tc>
          <w:tcPr>
            <w:tcW w:w="1035" w:type="dxa"/>
            <w:vAlign w:val="bottom"/>
          </w:tcPr>
          <w:p w:rsidR="00E873E8" w:rsidRDefault="00E873E8" w:rsidP="00E873E8">
            <w:pPr>
              <w:cnfStyle w:val="100000000000" w:firstRow="1" w:lastRow="0" w:firstColumn="0" w:lastColumn="0" w:oddVBand="0" w:evenVBand="0" w:oddHBand="0" w:evenHBand="0" w:firstRowFirstColumn="0" w:firstRowLastColumn="0" w:lastRowFirstColumn="0" w:lastRowLastColumn="0"/>
              <w:rPr>
                <w:b w:val="0"/>
              </w:rPr>
            </w:pPr>
            <w:r>
              <w:rPr>
                <w:b w:val="0"/>
              </w:rPr>
              <w:t>2014</w:t>
            </w:r>
          </w:p>
        </w:tc>
        <w:tc>
          <w:tcPr>
            <w:tcW w:w="1035" w:type="dxa"/>
            <w:vAlign w:val="bottom"/>
          </w:tcPr>
          <w:p w:rsidR="00E873E8" w:rsidRDefault="00E873E8" w:rsidP="00E873E8">
            <w:pPr>
              <w:cnfStyle w:val="100000000000" w:firstRow="1" w:lastRow="0" w:firstColumn="0" w:lastColumn="0" w:oddVBand="0" w:evenVBand="0" w:oddHBand="0" w:evenHBand="0" w:firstRowFirstColumn="0" w:firstRowLastColumn="0" w:lastRowFirstColumn="0" w:lastRowLastColumn="0"/>
              <w:rPr>
                <w:b w:val="0"/>
              </w:rPr>
            </w:pPr>
            <w:r>
              <w:rPr>
                <w:b w:val="0"/>
              </w:rPr>
              <w:t>2015</w:t>
            </w:r>
          </w:p>
        </w:tc>
        <w:tc>
          <w:tcPr>
            <w:tcW w:w="1035" w:type="dxa"/>
            <w:vAlign w:val="bottom"/>
          </w:tcPr>
          <w:p w:rsidR="00E873E8" w:rsidRDefault="00E873E8" w:rsidP="00E873E8">
            <w:pPr>
              <w:cnfStyle w:val="100000000000" w:firstRow="1" w:lastRow="0" w:firstColumn="0" w:lastColumn="0" w:oddVBand="0" w:evenVBand="0" w:oddHBand="0" w:evenHBand="0" w:firstRowFirstColumn="0" w:firstRowLastColumn="0" w:lastRowFirstColumn="0" w:lastRowLastColumn="0"/>
              <w:rPr>
                <w:b w:val="0"/>
              </w:rPr>
            </w:pPr>
            <w:r>
              <w:rPr>
                <w:b w:val="0"/>
              </w:rPr>
              <w:t>2016</w:t>
            </w:r>
          </w:p>
        </w:tc>
        <w:tc>
          <w:tcPr>
            <w:tcW w:w="1035" w:type="dxa"/>
            <w:vAlign w:val="bottom"/>
          </w:tcPr>
          <w:p w:rsidR="00E873E8" w:rsidRDefault="00E873E8" w:rsidP="00E873E8">
            <w:pPr>
              <w:cnfStyle w:val="100000000000" w:firstRow="1" w:lastRow="0" w:firstColumn="0" w:lastColumn="0" w:oddVBand="0" w:evenVBand="0" w:oddHBand="0" w:evenHBand="0" w:firstRowFirstColumn="0" w:firstRowLastColumn="0" w:lastRowFirstColumn="0" w:lastRowLastColumn="0"/>
              <w:rPr>
                <w:b w:val="0"/>
              </w:rPr>
            </w:pPr>
            <w:r>
              <w:rPr>
                <w:b w:val="0"/>
              </w:rPr>
              <w:t>2017</w:t>
            </w:r>
          </w:p>
        </w:tc>
        <w:tc>
          <w:tcPr>
            <w:tcW w:w="1035" w:type="dxa"/>
            <w:vAlign w:val="bottom"/>
          </w:tcPr>
          <w:p w:rsidR="00E873E8" w:rsidRDefault="00E873E8" w:rsidP="00E873E8">
            <w:pPr>
              <w:cnfStyle w:val="100000000000" w:firstRow="1" w:lastRow="0" w:firstColumn="0" w:lastColumn="0" w:oddVBand="0" w:evenVBand="0" w:oddHBand="0" w:evenHBand="0" w:firstRowFirstColumn="0" w:firstRowLastColumn="0" w:lastRowFirstColumn="0" w:lastRowLastColumn="0"/>
              <w:rPr>
                <w:b w:val="0"/>
              </w:rPr>
            </w:pPr>
            <w:r>
              <w:rPr>
                <w:b w:val="0"/>
              </w:rPr>
              <w:t>2018</w:t>
            </w: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Checking</w:t>
            </w: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45004.39</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37434.36</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26617.27</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17779.69</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r>
              <w:rPr>
                <w:b/>
              </w:rPr>
              <w:t>PayPal</w:t>
            </w: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14149.60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22553.21</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28596.31</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37779.78</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Total</w:t>
            </w: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59153.99</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59987.57</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55213.58</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55559.47</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r>
              <w:rPr>
                <w:b w:val="0"/>
              </w:rPr>
              <w:t>Income</w:t>
            </w: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r>
              <w:rPr>
                <w:b/>
              </w:rPr>
              <w:t>Registration/Dues</w:t>
            </w: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9685.00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9145.00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6720.00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8015.00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Meeting Sponsors</w:t>
            </w: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2000.00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1950.00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800.00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3100.00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9718E1" w:rsidP="009718E1">
            <w:pPr>
              <w:rPr>
                <w:b w:val="0"/>
              </w:rPr>
            </w:pPr>
            <w:r>
              <w:rPr>
                <w:b w:val="0"/>
              </w:rPr>
              <w:t>Expenses</w:t>
            </w: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r>
              <w:rPr>
                <w:b/>
              </w:rPr>
              <w:t>Secretary of State</w:t>
            </w: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30.00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30.00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30.00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30.00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Bank Checks</w:t>
            </w: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23.25</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r>
              <w:rPr>
                <w:b/>
              </w:rPr>
              <w:t>Bank Account Fees</w:t>
            </w: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121.44</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127.10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127.10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123.50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PayPal Fees</w:t>
            </w: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295.97</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281.39</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281.39</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307.46</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r>
              <w:rPr>
                <w:b/>
              </w:rPr>
              <w:t>JES</w:t>
            </w: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2500.00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2500.00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2500.00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2500.00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Meeting Expenses</w:t>
            </w: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r>
              <w:rPr>
                <w:b/>
              </w:rPr>
              <w:t>Venue</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3803.66</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5921.50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5543.93</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Supplies</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972.59</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450.64</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734.25</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r>
              <w:rPr>
                <w:b/>
              </w:rPr>
              <w:t>T-shirts</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343.20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253.80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233.80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Scholarships</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1000.00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500.00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500.00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r>
              <w:rPr>
                <w:b/>
              </w:rPr>
              <w:t>Awards</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775.00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775.00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775.00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 xml:space="preserve">Invited </w:t>
            </w:r>
            <w:proofErr w:type="spellStart"/>
            <w:r>
              <w:rPr>
                <w:b/>
              </w:rPr>
              <w:t>Spkrs</w:t>
            </w:r>
            <w:proofErr w:type="spellEnd"/>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0</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885.96</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144.48</w:t>
            </w: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r>
              <w:rPr>
                <w:b/>
              </w:rPr>
              <w:t>Plaques</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588.20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537.70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606.70</w:t>
            </w: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2858" w:type="dxa"/>
            <w:gridSpan w:val="2"/>
            <w:vAlign w:val="bottom"/>
          </w:tcPr>
          <w:p w:rsidR="00E873E8" w:rsidRDefault="00E873E8" w:rsidP="00E873E8">
            <w:pPr>
              <w:rPr>
                <w:b w:val="0"/>
              </w:rPr>
            </w:pPr>
            <w:r>
              <w:rPr>
                <w:b w:val="0"/>
              </w:rPr>
              <w:t>Current Assets</w:t>
            </w: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So. GA. Bank</w:t>
            </w: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17929.55</w:t>
            </w: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r>
              <w:rPr>
                <w:b/>
              </w:rPr>
              <w:t>PayPal</w:t>
            </w:r>
          </w:p>
        </w:tc>
        <w:tc>
          <w:tcPr>
            <w:tcW w:w="1327" w:type="dxa"/>
            <w:vAlign w:val="bottom"/>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vAlign w:val="bottom"/>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r>
              <w:rPr>
                <w:b/>
              </w:rPr>
              <w:t>45252.99</w:t>
            </w:r>
          </w:p>
        </w:tc>
      </w:tr>
      <w:tr w:rsidR="00E873E8" w:rsidTr="00E873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2" w:type="dxa"/>
            <w:vAlign w:val="bottom"/>
          </w:tcPr>
          <w:p w:rsidR="00E873E8" w:rsidRDefault="00E873E8" w:rsidP="00E873E8">
            <w:pPr>
              <w:rPr>
                <w:b w:val="0"/>
              </w:rPr>
            </w:pPr>
          </w:p>
        </w:tc>
        <w:tc>
          <w:tcPr>
            <w:tcW w:w="1836"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r>
              <w:rPr>
                <w:b/>
              </w:rPr>
              <w:t>TOTAL</w:t>
            </w:r>
          </w:p>
        </w:tc>
        <w:tc>
          <w:tcPr>
            <w:tcW w:w="1327" w:type="dxa"/>
            <w:vAlign w:val="bottom"/>
          </w:tcPr>
          <w:p w:rsidR="00E873E8" w:rsidRDefault="00E873E8" w:rsidP="00E873E8">
            <w:pPr>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p>
        </w:tc>
        <w:tc>
          <w:tcPr>
            <w:tcW w:w="1035" w:type="dxa"/>
            <w:vAlign w:val="bottom"/>
          </w:tcPr>
          <w:p w:rsidR="00E873E8" w:rsidRDefault="00E873E8" w:rsidP="00E873E8">
            <w:pPr>
              <w:jc w:val="right"/>
              <w:cnfStyle w:val="000000100000" w:firstRow="0" w:lastRow="0" w:firstColumn="0" w:lastColumn="0" w:oddVBand="0" w:evenVBand="0" w:oddHBand="1" w:evenHBand="0" w:firstRowFirstColumn="0" w:firstRowLastColumn="0" w:lastRowFirstColumn="0" w:lastRowLastColumn="0"/>
              <w:rPr>
                <w:b/>
              </w:rPr>
            </w:pPr>
            <w:r>
              <w:rPr>
                <w:b/>
              </w:rPr>
              <w:t>63182.54</w:t>
            </w:r>
          </w:p>
        </w:tc>
      </w:tr>
      <w:tr w:rsidR="00E873E8" w:rsidTr="00E873E8">
        <w:trPr>
          <w:trHeight w:val="360"/>
        </w:trPr>
        <w:tc>
          <w:tcPr>
            <w:cnfStyle w:val="001000000000" w:firstRow="0" w:lastRow="0" w:firstColumn="1" w:lastColumn="0" w:oddVBand="0" w:evenVBand="0" w:oddHBand="0" w:evenHBand="0" w:firstRowFirstColumn="0" w:firstRowLastColumn="0" w:lastRowFirstColumn="0" w:lastRowLastColumn="0"/>
            <w:tcW w:w="1022" w:type="dxa"/>
          </w:tcPr>
          <w:p w:rsidR="00E873E8" w:rsidRDefault="00E873E8" w:rsidP="00E873E8">
            <w:pPr>
              <w:rPr>
                <w:b w:val="0"/>
              </w:rPr>
            </w:pPr>
          </w:p>
        </w:tc>
        <w:tc>
          <w:tcPr>
            <w:tcW w:w="1836" w:type="dxa"/>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327" w:type="dxa"/>
          </w:tcPr>
          <w:p w:rsidR="00E873E8" w:rsidRDefault="00E873E8" w:rsidP="00E873E8">
            <w:pPr>
              <w:cnfStyle w:val="000000000000" w:firstRow="0" w:lastRow="0" w:firstColumn="0" w:lastColumn="0" w:oddVBand="0" w:evenVBand="0" w:oddHBand="0" w:evenHBand="0" w:firstRowFirstColumn="0" w:firstRowLastColumn="0" w:lastRowFirstColumn="0" w:lastRowLastColumn="0"/>
              <w:rPr>
                <w:b/>
              </w:rPr>
            </w:pPr>
          </w:p>
        </w:tc>
        <w:tc>
          <w:tcPr>
            <w:tcW w:w="1035" w:type="dxa"/>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c>
          <w:tcPr>
            <w:tcW w:w="1035" w:type="dxa"/>
          </w:tcPr>
          <w:p w:rsidR="00E873E8" w:rsidRDefault="00E873E8" w:rsidP="00E873E8">
            <w:pPr>
              <w:jc w:val="right"/>
              <w:cnfStyle w:val="000000000000" w:firstRow="0" w:lastRow="0" w:firstColumn="0" w:lastColumn="0" w:oddVBand="0" w:evenVBand="0" w:oddHBand="0" w:evenHBand="0" w:firstRowFirstColumn="0" w:firstRowLastColumn="0" w:lastRowFirstColumn="0" w:lastRowLastColumn="0"/>
              <w:rPr>
                <w:b/>
              </w:rPr>
            </w:pPr>
          </w:p>
        </w:tc>
      </w:tr>
    </w:tbl>
    <w:p w:rsidR="00EF5B52" w:rsidRPr="00EF5B52" w:rsidRDefault="00EF5B52" w:rsidP="00EF5B52">
      <w:pPr>
        <w:widowControl w:val="0"/>
        <w:spacing w:before="8" w:after="0" w:line="130" w:lineRule="exact"/>
        <w:rPr>
          <w:rFonts w:ascii="Calibri" w:eastAsia="Calibri" w:hAnsi="Calibri" w:cs="Times New Roman"/>
        </w:rPr>
      </w:pPr>
    </w:p>
    <w:p w:rsidR="00EF5B52" w:rsidRPr="00EF5B52" w:rsidRDefault="00EF5B52" w:rsidP="00EF5B52">
      <w:pPr>
        <w:widowControl w:val="0"/>
        <w:spacing w:before="8" w:after="0" w:line="130" w:lineRule="exact"/>
        <w:rPr>
          <w:rFonts w:ascii="Calibri" w:eastAsia="Calibri" w:hAnsi="Calibri" w:cs="Times New Roman"/>
        </w:rPr>
      </w:pPr>
    </w:p>
    <w:p w:rsidR="00EF5B52" w:rsidRPr="00EF5B52" w:rsidRDefault="00EF5B52" w:rsidP="00EF5B52">
      <w:pPr>
        <w:widowControl w:val="0"/>
        <w:spacing w:before="8" w:after="0" w:line="130" w:lineRule="exact"/>
        <w:rPr>
          <w:rFonts w:ascii="Calibri" w:eastAsia="Calibri" w:hAnsi="Calibri" w:cs="Times New Roman"/>
        </w:rPr>
      </w:pPr>
    </w:p>
    <w:p w:rsidR="00E873E8" w:rsidRDefault="00E873E8">
      <w:pPr>
        <w:rPr>
          <w:b/>
        </w:rPr>
      </w:pPr>
      <w:r>
        <w:rPr>
          <w:b/>
        </w:rPr>
        <w:br w:type="page"/>
      </w:r>
    </w:p>
    <w:p w:rsidR="00DC653F" w:rsidRDefault="00DC653F" w:rsidP="009E20BD">
      <w:pPr>
        <w:jc w:val="center"/>
        <w:rPr>
          <w:b/>
        </w:rPr>
        <w:sectPr w:rsidR="00DC653F" w:rsidSect="00DC653F">
          <w:pgSz w:w="12240" w:h="15840"/>
          <w:pgMar w:top="1440" w:right="1296" w:bottom="1440" w:left="1296" w:header="720" w:footer="720" w:gutter="0"/>
          <w:pgNumType w:fmt="lowerRoman"/>
          <w:cols w:space="720"/>
          <w:docGrid w:linePitch="360"/>
        </w:sectPr>
      </w:pPr>
    </w:p>
    <w:p w:rsidR="00150CD8" w:rsidRPr="006E66F9" w:rsidRDefault="00150CD8" w:rsidP="00150CD8">
      <w:pPr>
        <w:jc w:val="center"/>
        <w:rPr>
          <w:rFonts w:ascii="Times New Roman" w:hAnsi="Times New Roman" w:cs="Times New Roman"/>
          <w:b/>
          <w:sz w:val="24"/>
          <w:szCs w:val="24"/>
        </w:rPr>
      </w:pPr>
      <w:r w:rsidRPr="006E66F9">
        <w:rPr>
          <w:rFonts w:ascii="Times New Roman" w:hAnsi="Times New Roman" w:cs="Times New Roman"/>
          <w:b/>
          <w:sz w:val="24"/>
          <w:szCs w:val="24"/>
        </w:rPr>
        <w:lastRenderedPageBreak/>
        <w:t>Report of the GES Resolutions Committee</w:t>
      </w:r>
    </w:p>
    <w:p w:rsidR="00150CD8" w:rsidRPr="006E66F9" w:rsidRDefault="00150CD8" w:rsidP="00150CD8">
      <w:pPr>
        <w:jc w:val="center"/>
        <w:rPr>
          <w:rFonts w:ascii="Times New Roman" w:hAnsi="Times New Roman" w:cs="Times New Roman"/>
          <w:b/>
          <w:sz w:val="24"/>
          <w:szCs w:val="24"/>
        </w:rPr>
      </w:pPr>
      <w:r w:rsidRPr="006E66F9">
        <w:rPr>
          <w:rFonts w:ascii="Times New Roman" w:hAnsi="Times New Roman" w:cs="Times New Roman"/>
          <w:b/>
          <w:sz w:val="24"/>
          <w:szCs w:val="24"/>
        </w:rPr>
        <w:t>6 April 2018</w:t>
      </w:r>
    </w:p>
    <w:p w:rsidR="00150CD8" w:rsidRPr="006E66F9" w:rsidRDefault="00150CD8" w:rsidP="00150CD8">
      <w:pPr>
        <w:rPr>
          <w:rFonts w:ascii="Times New Roman" w:hAnsi="Times New Roman" w:cs="Times New Roman"/>
          <w:sz w:val="24"/>
          <w:szCs w:val="24"/>
        </w:rPr>
      </w:pPr>
    </w:p>
    <w:p w:rsidR="00150CD8" w:rsidRPr="006E66F9" w:rsidRDefault="00150CD8" w:rsidP="00150CD8">
      <w:pPr>
        <w:rPr>
          <w:rFonts w:ascii="Times New Roman" w:hAnsi="Times New Roman" w:cs="Times New Roman"/>
          <w:sz w:val="24"/>
          <w:szCs w:val="24"/>
        </w:rPr>
      </w:pPr>
      <w:r w:rsidRPr="006E66F9">
        <w:rPr>
          <w:rFonts w:ascii="Times New Roman" w:hAnsi="Times New Roman" w:cs="Times New Roman"/>
          <w:sz w:val="24"/>
          <w:szCs w:val="24"/>
        </w:rPr>
        <w:t xml:space="preserve">Whereas, the </w:t>
      </w:r>
      <w:r w:rsidRPr="00500238">
        <w:rPr>
          <w:rFonts w:ascii="Times New Roman" w:hAnsi="Times New Roman" w:cs="Times New Roman"/>
          <w:b/>
          <w:sz w:val="24"/>
          <w:szCs w:val="24"/>
        </w:rPr>
        <w:t>82</w:t>
      </w:r>
      <w:r w:rsidRPr="006E66F9">
        <w:rPr>
          <w:rFonts w:ascii="Times New Roman" w:hAnsi="Times New Roman" w:cs="Times New Roman"/>
          <w:sz w:val="24"/>
          <w:szCs w:val="24"/>
          <w:vertAlign w:val="superscript"/>
        </w:rPr>
        <w:t>th</w:t>
      </w:r>
      <w:r w:rsidRPr="006E66F9">
        <w:rPr>
          <w:rFonts w:ascii="Times New Roman" w:hAnsi="Times New Roman" w:cs="Times New Roman"/>
          <w:sz w:val="24"/>
          <w:szCs w:val="24"/>
        </w:rPr>
        <w:t xml:space="preserve"> Annual Meeting of the Georgia Entomological Society was convened April 4-6, 2018 at the </w:t>
      </w:r>
      <w:r w:rsidRPr="00500238">
        <w:rPr>
          <w:rFonts w:ascii="Times New Roman" w:hAnsi="Times New Roman" w:cs="Times New Roman"/>
          <w:b/>
          <w:sz w:val="24"/>
          <w:szCs w:val="24"/>
        </w:rPr>
        <w:t>Unicoi State Park and Lodge Helen, Georgia</w:t>
      </w:r>
      <w:r w:rsidRPr="006E66F9">
        <w:rPr>
          <w:rFonts w:ascii="Times New Roman" w:hAnsi="Times New Roman" w:cs="Times New Roman"/>
          <w:sz w:val="24"/>
          <w:szCs w:val="24"/>
        </w:rPr>
        <w:t>; and</w:t>
      </w:r>
    </w:p>
    <w:p w:rsidR="00150CD8" w:rsidRPr="006E66F9" w:rsidRDefault="00150CD8" w:rsidP="00150CD8">
      <w:pPr>
        <w:rPr>
          <w:rFonts w:ascii="Times New Roman" w:hAnsi="Times New Roman" w:cs="Times New Roman"/>
          <w:sz w:val="24"/>
          <w:szCs w:val="24"/>
        </w:rPr>
      </w:pPr>
      <w:r w:rsidRPr="006E66F9">
        <w:rPr>
          <w:rFonts w:ascii="Times New Roman" w:hAnsi="Times New Roman" w:cs="Times New Roman"/>
          <w:sz w:val="24"/>
          <w:szCs w:val="24"/>
        </w:rPr>
        <w:t xml:space="preserve">Whereas President </w:t>
      </w:r>
      <w:r w:rsidRPr="00500238">
        <w:rPr>
          <w:rFonts w:ascii="Times New Roman" w:hAnsi="Times New Roman" w:cs="Times New Roman"/>
          <w:b/>
          <w:sz w:val="24"/>
          <w:szCs w:val="24"/>
        </w:rPr>
        <w:t>Daniel R. Suiter</w:t>
      </w:r>
      <w:r w:rsidRPr="006E66F9">
        <w:rPr>
          <w:rFonts w:ascii="Times New Roman" w:hAnsi="Times New Roman" w:cs="Times New Roman"/>
          <w:sz w:val="24"/>
          <w:szCs w:val="24"/>
        </w:rPr>
        <w:t>, through dedicated hard work, organized and directed the Georgia En</w:t>
      </w:r>
      <w:r>
        <w:rPr>
          <w:rFonts w:ascii="Times New Roman" w:hAnsi="Times New Roman" w:cs="Times New Roman"/>
          <w:sz w:val="24"/>
          <w:szCs w:val="24"/>
        </w:rPr>
        <w:t xml:space="preserve">tomological </w:t>
      </w:r>
      <w:r w:rsidRPr="006E66F9">
        <w:rPr>
          <w:rFonts w:ascii="Times New Roman" w:hAnsi="Times New Roman" w:cs="Times New Roman"/>
          <w:sz w:val="24"/>
          <w:szCs w:val="24"/>
        </w:rPr>
        <w:t xml:space="preserve">Society during 2017-18, and provided superb leadership for the 2018 annual meeting; and </w:t>
      </w:r>
    </w:p>
    <w:p w:rsidR="00150CD8" w:rsidRPr="006E66F9" w:rsidRDefault="00150CD8" w:rsidP="00150CD8">
      <w:pPr>
        <w:rPr>
          <w:rFonts w:ascii="Times New Roman" w:hAnsi="Times New Roman" w:cs="Times New Roman"/>
          <w:sz w:val="24"/>
          <w:szCs w:val="24"/>
        </w:rPr>
      </w:pPr>
      <w:r w:rsidRPr="006E66F9">
        <w:rPr>
          <w:rFonts w:ascii="Times New Roman" w:hAnsi="Times New Roman" w:cs="Times New Roman"/>
          <w:sz w:val="24"/>
          <w:szCs w:val="24"/>
        </w:rPr>
        <w:t xml:space="preserve">Whereas, </w:t>
      </w:r>
      <w:r w:rsidRPr="00500238">
        <w:rPr>
          <w:rFonts w:ascii="Times New Roman" w:hAnsi="Times New Roman" w:cs="Times New Roman"/>
          <w:b/>
          <w:sz w:val="24"/>
          <w:szCs w:val="24"/>
        </w:rPr>
        <w:t xml:space="preserve">Phillip Roberts </w:t>
      </w:r>
      <w:r w:rsidRPr="006E66F9">
        <w:rPr>
          <w:rFonts w:ascii="Times New Roman" w:hAnsi="Times New Roman" w:cs="Times New Roman"/>
          <w:sz w:val="24"/>
          <w:szCs w:val="24"/>
        </w:rPr>
        <w:t xml:space="preserve">did make an excellent Founders’ Lecturer to honor </w:t>
      </w:r>
      <w:r w:rsidRPr="00802DF0">
        <w:rPr>
          <w:rFonts w:ascii="Times New Roman" w:hAnsi="Times New Roman" w:cs="Times New Roman"/>
          <w:b/>
          <w:sz w:val="24"/>
          <w:szCs w:val="24"/>
        </w:rPr>
        <w:t>Herbert Womack</w:t>
      </w:r>
      <w:r w:rsidRPr="006E66F9">
        <w:rPr>
          <w:rFonts w:ascii="Times New Roman" w:hAnsi="Times New Roman" w:cs="Times New Roman"/>
          <w:sz w:val="24"/>
          <w:szCs w:val="24"/>
        </w:rPr>
        <w:t xml:space="preserve"> as the 2018 GES Founder Honoree; and </w:t>
      </w:r>
    </w:p>
    <w:p w:rsidR="00150CD8" w:rsidRPr="006E66F9" w:rsidRDefault="00150CD8" w:rsidP="00150CD8">
      <w:pPr>
        <w:rPr>
          <w:rFonts w:ascii="Times New Roman" w:hAnsi="Times New Roman" w:cs="Times New Roman"/>
          <w:sz w:val="24"/>
          <w:szCs w:val="24"/>
        </w:rPr>
      </w:pPr>
      <w:r w:rsidRPr="006E66F9">
        <w:rPr>
          <w:rFonts w:ascii="Times New Roman" w:hAnsi="Times New Roman" w:cs="Times New Roman"/>
          <w:sz w:val="24"/>
          <w:szCs w:val="24"/>
        </w:rPr>
        <w:t xml:space="preserve">Whereas, </w:t>
      </w:r>
      <w:r w:rsidRPr="00802DF0">
        <w:rPr>
          <w:rFonts w:ascii="Times New Roman" w:hAnsi="Times New Roman" w:cs="Times New Roman"/>
          <w:b/>
          <w:sz w:val="24"/>
          <w:szCs w:val="24"/>
        </w:rPr>
        <w:t>Wayne Gardner</w:t>
      </w:r>
      <w:r w:rsidRPr="006E66F9">
        <w:rPr>
          <w:rFonts w:ascii="Times New Roman" w:hAnsi="Times New Roman" w:cs="Times New Roman"/>
          <w:sz w:val="24"/>
          <w:szCs w:val="24"/>
        </w:rPr>
        <w:t xml:space="preserve"> gave a very personal and earnest recognition of </w:t>
      </w:r>
      <w:r w:rsidRPr="00802DF0">
        <w:rPr>
          <w:rFonts w:ascii="Times New Roman" w:hAnsi="Times New Roman" w:cs="Times New Roman"/>
          <w:b/>
          <w:sz w:val="24"/>
          <w:szCs w:val="24"/>
        </w:rPr>
        <w:t>Raymond Noblet</w:t>
      </w:r>
      <w:r w:rsidRPr="006E66F9">
        <w:rPr>
          <w:rFonts w:ascii="Times New Roman" w:hAnsi="Times New Roman" w:cs="Times New Roman"/>
          <w:sz w:val="24"/>
          <w:szCs w:val="24"/>
        </w:rPr>
        <w:t xml:space="preserve"> and </w:t>
      </w:r>
      <w:r w:rsidRPr="00802DF0">
        <w:rPr>
          <w:rFonts w:ascii="Times New Roman" w:hAnsi="Times New Roman" w:cs="Times New Roman"/>
          <w:b/>
          <w:sz w:val="24"/>
          <w:szCs w:val="24"/>
        </w:rPr>
        <w:t>William R. (Bill) Lambert</w:t>
      </w:r>
      <w:r w:rsidRPr="006E66F9">
        <w:rPr>
          <w:rFonts w:ascii="Times New Roman" w:hAnsi="Times New Roman" w:cs="Times New Roman"/>
          <w:sz w:val="24"/>
          <w:szCs w:val="24"/>
        </w:rPr>
        <w:t xml:space="preserve"> </w:t>
      </w:r>
      <w:r>
        <w:rPr>
          <w:rFonts w:ascii="Times New Roman" w:hAnsi="Times New Roman" w:cs="Times New Roman"/>
          <w:sz w:val="24"/>
          <w:szCs w:val="24"/>
        </w:rPr>
        <w:t xml:space="preserve">who were inducted as </w:t>
      </w:r>
      <w:r w:rsidRPr="006E66F9">
        <w:rPr>
          <w:rFonts w:ascii="Times New Roman" w:hAnsi="Times New Roman" w:cs="Times New Roman"/>
          <w:sz w:val="24"/>
          <w:szCs w:val="24"/>
        </w:rPr>
        <w:t>Fellow</w:t>
      </w:r>
      <w:r>
        <w:rPr>
          <w:rFonts w:ascii="Times New Roman" w:hAnsi="Times New Roman" w:cs="Times New Roman"/>
          <w:sz w:val="24"/>
          <w:szCs w:val="24"/>
        </w:rPr>
        <w:t>s</w:t>
      </w:r>
      <w:r w:rsidRPr="006E66F9">
        <w:rPr>
          <w:rFonts w:ascii="Times New Roman" w:hAnsi="Times New Roman" w:cs="Times New Roman"/>
          <w:sz w:val="24"/>
          <w:szCs w:val="24"/>
        </w:rPr>
        <w:t xml:space="preserve"> of the Georgia Entomological Society; and</w:t>
      </w:r>
    </w:p>
    <w:p w:rsidR="00150CD8" w:rsidRPr="006E66F9" w:rsidRDefault="00150CD8" w:rsidP="00150CD8">
      <w:pPr>
        <w:rPr>
          <w:rFonts w:ascii="Times New Roman" w:hAnsi="Times New Roman" w:cs="Times New Roman"/>
          <w:sz w:val="24"/>
          <w:szCs w:val="24"/>
        </w:rPr>
      </w:pPr>
      <w:r w:rsidRPr="006E66F9">
        <w:rPr>
          <w:rFonts w:ascii="Times New Roman" w:hAnsi="Times New Roman" w:cs="Times New Roman"/>
          <w:sz w:val="24"/>
          <w:szCs w:val="24"/>
        </w:rPr>
        <w:t xml:space="preserve">Whereas, </w:t>
      </w:r>
      <w:r w:rsidRPr="00802DF0">
        <w:rPr>
          <w:rFonts w:ascii="Times New Roman" w:hAnsi="Times New Roman" w:cs="Times New Roman"/>
          <w:b/>
          <w:sz w:val="24"/>
          <w:szCs w:val="24"/>
        </w:rPr>
        <w:t>Daniel R. Suiter</w:t>
      </w:r>
      <w:r w:rsidRPr="006E66F9">
        <w:rPr>
          <w:rFonts w:ascii="Times New Roman" w:hAnsi="Times New Roman" w:cs="Times New Roman"/>
          <w:sz w:val="24"/>
          <w:szCs w:val="24"/>
        </w:rPr>
        <w:t xml:space="preserve"> and the Local Arrangements Committee organized and managed an excellent foundation for this meeting; and</w:t>
      </w:r>
    </w:p>
    <w:p w:rsidR="00150CD8" w:rsidRPr="006E66F9" w:rsidRDefault="00150CD8" w:rsidP="00150CD8">
      <w:pPr>
        <w:rPr>
          <w:rFonts w:ascii="Times New Roman" w:hAnsi="Times New Roman" w:cs="Times New Roman"/>
          <w:sz w:val="24"/>
          <w:szCs w:val="24"/>
        </w:rPr>
      </w:pPr>
      <w:r w:rsidRPr="006E66F9">
        <w:rPr>
          <w:rFonts w:ascii="Times New Roman" w:hAnsi="Times New Roman" w:cs="Times New Roman"/>
          <w:sz w:val="24"/>
          <w:szCs w:val="24"/>
        </w:rPr>
        <w:t xml:space="preserve">Whereas, President-Elect </w:t>
      </w:r>
      <w:r w:rsidRPr="00802DF0">
        <w:rPr>
          <w:rFonts w:ascii="Times New Roman" w:hAnsi="Times New Roman" w:cs="Times New Roman"/>
          <w:b/>
          <w:sz w:val="24"/>
          <w:szCs w:val="24"/>
        </w:rPr>
        <w:t xml:space="preserve">Ed </w:t>
      </w:r>
      <w:proofErr w:type="spellStart"/>
      <w:r w:rsidRPr="00802DF0">
        <w:rPr>
          <w:rFonts w:ascii="Times New Roman" w:hAnsi="Times New Roman" w:cs="Times New Roman"/>
          <w:b/>
          <w:sz w:val="24"/>
          <w:szCs w:val="24"/>
        </w:rPr>
        <w:t>Mondor</w:t>
      </w:r>
      <w:proofErr w:type="spellEnd"/>
      <w:r w:rsidRPr="006E66F9">
        <w:rPr>
          <w:rFonts w:ascii="Times New Roman" w:hAnsi="Times New Roman" w:cs="Times New Roman"/>
          <w:sz w:val="24"/>
          <w:szCs w:val="24"/>
        </w:rPr>
        <w:t xml:space="preserve"> organized an excellent paper and poster session, and coordinated an interesting and informative sessions; and</w:t>
      </w:r>
    </w:p>
    <w:p w:rsidR="00150CD8" w:rsidRPr="006E66F9" w:rsidRDefault="00150CD8" w:rsidP="00150CD8">
      <w:pPr>
        <w:pStyle w:val="NormalWeb"/>
        <w:shd w:val="clear" w:color="auto" w:fill="FFFFFF"/>
        <w:spacing w:before="0" w:beforeAutospacing="0" w:after="0" w:afterAutospacing="0"/>
        <w:contextualSpacing/>
        <w:rPr>
          <w:color w:val="333333"/>
        </w:rPr>
      </w:pPr>
      <w:r w:rsidRPr="006E66F9">
        <w:t xml:space="preserve">Whereas, the industry sponsors, </w:t>
      </w:r>
      <w:r w:rsidRPr="00802DF0">
        <w:rPr>
          <w:b/>
          <w:color w:val="000000" w:themeColor="text1"/>
        </w:rPr>
        <w:t xml:space="preserve">Arrow Exterminators, Bayer </w:t>
      </w:r>
      <w:proofErr w:type="spellStart"/>
      <w:r w:rsidRPr="00802DF0">
        <w:rPr>
          <w:b/>
          <w:color w:val="000000" w:themeColor="text1"/>
        </w:rPr>
        <w:t>CropScience</w:t>
      </w:r>
      <w:proofErr w:type="spellEnd"/>
      <w:r w:rsidRPr="00802DF0">
        <w:rPr>
          <w:b/>
          <w:color w:val="000000" w:themeColor="text1"/>
        </w:rPr>
        <w:t xml:space="preserve">, </w:t>
      </w:r>
      <w:proofErr w:type="spellStart"/>
      <w:r w:rsidRPr="00802DF0">
        <w:rPr>
          <w:b/>
          <w:color w:val="000000" w:themeColor="text1"/>
        </w:rPr>
        <w:t>DowDuPont</w:t>
      </w:r>
      <w:proofErr w:type="spellEnd"/>
      <w:r w:rsidRPr="00802DF0">
        <w:rPr>
          <w:b/>
          <w:color w:val="000000" w:themeColor="text1"/>
        </w:rPr>
        <w:t xml:space="preserve">, Monsanto, </w:t>
      </w:r>
      <w:proofErr w:type="spellStart"/>
      <w:r w:rsidRPr="00802DF0">
        <w:rPr>
          <w:b/>
          <w:color w:val="000000" w:themeColor="text1"/>
        </w:rPr>
        <w:t>Nichino</w:t>
      </w:r>
      <w:proofErr w:type="spellEnd"/>
      <w:r w:rsidRPr="00802DF0">
        <w:rPr>
          <w:b/>
          <w:color w:val="000000" w:themeColor="text1"/>
        </w:rPr>
        <w:t xml:space="preserve"> America, </w:t>
      </w:r>
      <w:proofErr w:type="spellStart"/>
      <w:r w:rsidRPr="00802DF0">
        <w:rPr>
          <w:b/>
          <w:color w:val="000000" w:themeColor="text1"/>
        </w:rPr>
        <w:t>Orkin</w:t>
      </w:r>
      <w:proofErr w:type="spellEnd"/>
      <w:r w:rsidRPr="00802DF0">
        <w:rPr>
          <w:b/>
          <w:color w:val="000000" w:themeColor="text1"/>
        </w:rPr>
        <w:t xml:space="preserve">, Syngenta AG, </w:t>
      </w:r>
      <w:proofErr w:type="spellStart"/>
      <w:r w:rsidRPr="00802DF0">
        <w:rPr>
          <w:b/>
          <w:color w:val="000000" w:themeColor="text1"/>
        </w:rPr>
        <w:t>Terminix</w:t>
      </w:r>
      <w:proofErr w:type="spellEnd"/>
      <w:r w:rsidRPr="00802DF0">
        <w:rPr>
          <w:b/>
          <w:color w:val="000000" w:themeColor="text1"/>
        </w:rPr>
        <w:t xml:space="preserve">, </w:t>
      </w:r>
      <w:proofErr w:type="spellStart"/>
      <w:r w:rsidRPr="00802DF0">
        <w:rPr>
          <w:b/>
          <w:color w:val="000000" w:themeColor="text1"/>
        </w:rPr>
        <w:t>Valent</w:t>
      </w:r>
      <w:proofErr w:type="spellEnd"/>
      <w:r w:rsidRPr="00802DF0">
        <w:rPr>
          <w:b/>
          <w:color w:val="000000" w:themeColor="text1"/>
        </w:rPr>
        <w:t xml:space="preserve"> USA Corporation</w:t>
      </w:r>
      <w:r w:rsidRPr="00802DF0">
        <w:rPr>
          <w:color w:val="000000" w:themeColor="text1"/>
        </w:rPr>
        <w:t xml:space="preserve"> </w:t>
      </w:r>
      <w:r w:rsidRPr="006E66F9">
        <w:t>generously provi</w:t>
      </w:r>
      <w:r>
        <w:t>ded refreshments during the 2018</w:t>
      </w:r>
      <w:r w:rsidRPr="006E66F9">
        <w:t xml:space="preserve"> Annual Meeting</w:t>
      </w:r>
      <w:proofErr w:type="gramStart"/>
      <w:r w:rsidRPr="006E66F9">
        <w:t>;</w:t>
      </w:r>
      <w:proofErr w:type="gramEnd"/>
    </w:p>
    <w:p w:rsidR="00150CD8" w:rsidRPr="006E66F9" w:rsidRDefault="00150CD8" w:rsidP="00150CD8">
      <w:pPr>
        <w:spacing w:after="0" w:line="240" w:lineRule="auto"/>
        <w:contextualSpacing/>
        <w:rPr>
          <w:rFonts w:ascii="Times New Roman" w:hAnsi="Times New Roman" w:cs="Times New Roman"/>
          <w:sz w:val="24"/>
          <w:szCs w:val="24"/>
        </w:rPr>
      </w:pPr>
    </w:p>
    <w:p w:rsidR="00150CD8" w:rsidRPr="006E66F9" w:rsidRDefault="00150CD8" w:rsidP="00150CD8">
      <w:pPr>
        <w:spacing w:after="0" w:line="240" w:lineRule="auto"/>
        <w:contextualSpacing/>
        <w:rPr>
          <w:rFonts w:ascii="Times New Roman" w:hAnsi="Times New Roman" w:cs="Times New Roman"/>
          <w:sz w:val="24"/>
          <w:szCs w:val="24"/>
        </w:rPr>
      </w:pPr>
      <w:r w:rsidRPr="006E66F9">
        <w:rPr>
          <w:rFonts w:ascii="Times New Roman" w:hAnsi="Times New Roman" w:cs="Times New Roman"/>
          <w:sz w:val="24"/>
          <w:szCs w:val="24"/>
        </w:rPr>
        <w:t xml:space="preserve">Be it therefore resolved that the Georgia Entomological Society extend its sincere appreciation and thank you to all who have contributed to the success and enjoyment of the </w:t>
      </w:r>
      <w:r w:rsidRPr="00802DF0">
        <w:rPr>
          <w:rFonts w:ascii="Times New Roman" w:hAnsi="Times New Roman" w:cs="Times New Roman"/>
          <w:b/>
          <w:sz w:val="24"/>
          <w:szCs w:val="24"/>
        </w:rPr>
        <w:t>82</w:t>
      </w:r>
      <w:r w:rsidRPr="006E66F9">
        <w:rPr>
          <w:rFonts w:ascii="Times New Roman" w:hAnsi="Times New Roman" w:cs="Times New Roman"/>
          <w:sz w:val="24"/>
          <w:szCs w:val="24"/>
          <w:vertAlign w:val="superscript"/>
        </w:rPr>
        <w:t>th</w:t>
      </w:r>
      <w:r w:rsidRPr="006E66F9">
        <w:rPr>
          <w:rFonts w:ascii="Times New Roman" w:hAnsi="Times New Roman" w:cs="Times New Roman"/>
          <w:sz w:val="24"/>
          <w:szCs w:val="24"/>
        </w:rPr>
        <w:t xml:space="preserve"> Annual Meeting.</w:t>
      </w:r>
    </w:p>
    <w:p w:rsidR="00150CD8" w:rsidRPr="006E66F9" w:rsidRDefault="00150CD8" w:rsidP="00150CD8">
      <w:pPr>
        <w:spacing w:after="0" w:line="240" w:lineRule="auto"/>
        <w:contextualSpacing/>
        <w:rPr>
          <w:rFonts w:ascii="Times New Roman" w:hAnsi="Times New Roman" w:cs="Times New Roman"/>
          <w:sz w:val="24"/>
          <w:szCs w:val="24"/>
        </w:rPr>
      </w:pPr>
    </w:p>
    <w:p w:rsidR="00150CD8" w:rsidRPr="006E66F9" w:rsidRDefault="00150CD8" w:rsidP="00150CD8">
      <w:pPr>
        <w:spacing w:after="0" w:line="240" w:lineRule="auto"/>
        <w:contextualSpacing/>
        <w:rPr>
          <w:rFonts w:ascii="Times New Roman" w:hAnsi="Times New Roman" w:cs="Times New Roman"/>
          <w:sz w:val="24"/>
          <w:szCs w:val="24"/>
        </w:rPr>
      </w:pPr>
      <w:r w:rsidRPr="006E66F9">
        <w:rPr>
          <w:rFonts w:ascii="Times New Roman" w:hAnsi="Times New Roman" w:cs="Times New Roman"/>
          <w:sz w:val="24"/>
          <w:szCs w:val="24"/>
        </w:rPr>
        <w:t>Respectfully submitted,</w:t>
      </w:r>
    </w:p>
    <w:p w:rsidR="00150CD8" w:rsidRPr="006E66F9" w:rsidRDefault="00150CD8" w:rsidP="00150CD8">
      <w:pPr>
        <w:spacing w:after="0" w:line="240" w:lineRule="auto"/>
        <w:contextualSpacing/>
        <w:rPr>
          <w:rFonts w:ascii="Times New Roman" w:hAnsi="Times New Roman" w:cs="Times New Roman"/>
          <w:sz w:val="24"/>
          <w:szCs w:val="24"/>
        </w:rPr>
      </w:pPr>
    </w:p>
    <w:p w:rsidR="00150CD8" w:rsidRPr="006E66F9" w:rsidRDefault="00150CD8" w:rsidP="00150CD8">
      <w:pPr>
        <w:spacing w:after="0" w:line="240" w:lineRule="auto"/>
        <w:contextualSpacing/>
        <w:rPr>
          <w:rFonts w:ascii="Times New Roman" w:hAnsi="Times New Roman" w:cs="Times New Roman"/>
          <w:sz w:val="24"/>
          <w:szCs w:val="24"/>
        </w:rPr>
      </w:pPr>
    </w:p>
    <w:p w:rsidR="00150CD8" w:rsidRPr="006E66F9" w:rsidRDefault="00150CD8" w:rsidP="00150CD8">
      <w:pPr>
        <w:spacing w:after="0" w:line="240" w:lineRule="auto"/>
        <w:contextualSpacing/>
        <w:rPr>
          <w:rFonts w:ascii="Times New Roman" w:hAnsi="Times New Roman" w:cs="Times New Roman"/>
          <w:sz w:val="24"/>
          <w:szCs w:val="24"/>
        </w:rPr>
      </w:pPr>
      <w:proofErr w:type="spellStart"/>
      <w:r w:rsidRPr="00802DF0">
        <w:rPr>
          <w:rFonts w:ascii="Times New Roman" w:hAnsi="Times New Roman" w:cs="Times New Roman"/>
          <w:b/>
          <w:sz w:val="24"/>
          <w:szCs w:val="24"/>
        </w:rPr>
        <w:t>Shimat</w:t>
      </w:r>
      <w:proofErr w:type="spellEnd"/>
      <w:r w:rsidRPr="00802DF0">
        <w:rPr>
          <w:rFonts w:ascii="Times New Roman" w:hAnsi="Times New Roman" w:cs="Times New Roman"/>
          <w:b/>
          <w:sz w:val="24"/>
          <w:szCs w:val="24"/>
        </w:rPr>
        <w:t xml:space="preserve"> V Joseph</w:t>
      </w:r>
      <w:r w:rsidRPr="006E66F9">
        <w:rPr>
          <w:rFonts w:ascii="Times New Roman" w:hAnsi="Times New Roman" w:cs="Times New Roman"/>
          <w:sz w:val="24"/>
          <w:szCs w:val="24"/>
        </w:rPr>
        <w:t>, Chair</w:t>
      </w:r>
      <w:r w:rsidRPr="006E66F9">
        <w:rPr>
          <w:rFonts w:ascii="Times New Roman" w:hAnsi="Times New Roman" w:cs="Times New Roman"/>
          <w:sz w:val="24"/>
          <w:szCs w:val="24"/>
        </w:rPr>
        <w:tab/>
      </w:r>
      <w:r w:rsidRPr="006E66F9">
        <w:rPr>
          <w:rFonts w:ascii="Times New Roman" w:hAnsi="Times New Roman" w:cs="Times New Roman"/>
          <w:sz w:val="24"/>
          <w:szCs w:val="24"/>
        </w:rPr>
        <w:tab/>
      </w:r>
      <w:r w:rsidRPr="006E66F9">
        <w:rPr>
          <w:rFonts w:ascii="Times New Roman" w:hAnsi="Times New Roman" w:cs="Times New Roman"/>
          <w:sz w:val="24"/>
          <w:szCs w:val="24"/>
        </w:rPr>
        <w:tab/>
      </w:r>
      <w:r w:rsidRPr="006E66F9">
        <w:rPr>
          <w:rFonts w:ascii="Times New Roman" w:hAnsi="Times New Roman" w:cs="Times New Roman"/>
          <w:sz w:val="24"/>
          <w:szCs w:val="24"/>
        </w:rPr>
        <w:tab/>
      </w:r>
      <w:r w:rsidRPr="006E66F9">
        <w:rPr>
          <w:rFonts w:ascii="Times New Roman" w:hAnsi="Times New Roman" w:cs="Times New Roman"/>
          <w:sz w:val="24"/>
          <w:szCs w:val="24"/>
        </w:rPr>
        <w:tab/>
      </w:r>
      <w:r w:rsidRPr="006E66F9">
        <w:rPr>
          <w:rFonts w:ascii="Times New Roman" w:hAnsi="Times New Roman" w:cs="Times New Roman"/>
          <w:sz w:val="24"/>
          <w:szCs w:val="24"/>
        </w:rPr>
        <w:tab/>
      </w:r>
      <w:r w:rsidRPr="00802DF0">
        <w:rPr>
          <w:rFonts w:ascii="Times New Roman" w:hAnsi="Times New Roman" w:cs="Times New Roman"/>
          <w:b/>
          <w:sz w:val="24"/>
          <w:szCs w:val="24"/>
        </w:rPr>
        <w:t>David Buntin</w:t>
      </w:r>
      <w:r w:rsidRPr="006E66F9">
        <w:rPr>
          <w:rFonts w:ascii="Times New Roman" w:hAnsi="Times New Roman" w:cs="Times New Roman"/>
          <w:sz w:val="24"/>
          <w:szCs w:val="24"/>
        </w:rPr>
        <w:t>, Member</w:t>
      </w:r>
      <w:r w:rsidRPr="006E66F9">
        <w:rPr>
          <w:rFonts w:ascii="Times New Roman" w:hAnsi="Times New Roman" w:cs="Times New Roman"/>
          <w:sz w:val="24"/>
          <w:szCs w:val="24"/>
        </w:rPr>
        <w:tab/>
      </w:r>
    </w:p>
    <w:p w:rsidR="009E20BD" w:rsidRDefault="009E20BD" w:rsidP="00071BD2">
      <w:pPr>
        <w:rPr>
          <w:b/>
          <w:sz w:val="48"/>
          <w:szCs w:val="48"/>
        </w:rPr>
      </w:pPr>
    </w:p>
    <w:p w:rsidR="009E20BD" w:rsidRDefault="009E20BD" w:rsidP="00071BD2">
      <w:pPr>
        <w:rPr>
          <w:b/>
          <w:sz w:val="48"/>
          <w:szCs w:val="48"/>
        </w:rPr>
      </w:pPr>
    </w:p>
    <w:p w:rsidR="009E20BD" w:rsidRDefault="009E20BD" w:rsidP="00071BD2">
      <w:pPr>
        <w:rPr>
          <w:b/>
          <w:sz w:val="48"/>
          <w:szCs w:val="48"/>
        </w:rPr>
      </w:pPr>
    </w:p>
    <w:p w:rsidR="009E20BD" w:rsidRPr="00AD385E" w:rsidRDefault="009E20BD" w:rsidP="009E20BD">
      <w:pPr>
        <w:rPr>
          <w:b/>
          <w:sz w:val="48"/>
          <w:szCs w:val="48"/>
        </w:rPr>
      </w:pPr>
      <w:r>
        <w:rPr>
          <w:b/>
          <w:sz w:val="48"/>
          <w:szCs w:val="48"/>
        </w:rPr>
        <w:lastRenderedPageBreak/>
        <w:t>JOURNAL OF ENTOMOLOGICAL SCIENCE</w:t>
      </w:r>
    </w:p>
    <w:p w:rsidR="00E873E8" w:rsidRPr="00E873E8" w:rsidRDefault="00E873E8" w:rsidP="00E873E8">
      <w:pPr>
        <w:contextualSpacing/>
        <w:rPr>
          <w:b/>
        </w:rPr>
      </w:pPr>
      <w:r w:rsidRPr="00E873E8">
        <w:rPr>
          <w:b/>
        </w:rPr>
        <w:t>2017 ANNUAL REPORT</w:t>
      </w:r>
    </w:p>
    <w:p w:rsidR="00E873E8" w:rsidRPr="00E873E8" w:rsidRDefault="00E873E8" w:rsidP="00E873E8">
      <w:pPr>
        <w:contextualSpacing/>
      </w:pPr>
      <w:r w:rsidRPr="00E873E8">
        <w:t xml:space="preserve">Volume 52 of the </w:t>
      </w:r>
      <w:r w:rsidRPr="00E873E8">
        <w:rPr>
          <w:i/>
        </w:rPr>
        <w:t>Journal of Entomological Science</w:t>
      </w:r>
      <w:r w:rsidRPr="00E873E8">
        <w:t xml:space="preserve"> was published in </w:t>
      </w:r>
      <w:proofErr w:type="gramStart"/>
      <w:r w:rsidRPr="00E873E8">
        <w:t>4</w:t>
      </w:r>
      <w:proofErr w:type="gramEnd"/>
      <w:r w:rsidRPr="00E873E8">
        <w:t xml:space="preserve"> quarterly issues both online and in print.  There were 471 total pages in the volume with 36 scientific articles and 18 scientific notes.  For those 54 manuscripts published in volume 52, the average time from receipt of the manuscript to action taken on acceptance was 81 days (See Table 1 </w:t>
      </w:r>
      <w:proofErr w:type="gramStart"/>
      <w:r w:rsidRPr="00E873E8">
        <w:t>for summary data by volume from 2005 through 2017</w:t>
      </w:r>
      <w:proofErr w:type="gramEnd"/>
      <w:r w:rsidRPr="00E873E8">
        <w:t xml:space="preserve">).  </w:t>
      </w:r>
      <w:proofErr w:type="gramStart"/>
      <w:r w:rsidRPr="00E873E8">
        <w:t xml:space="preserve">Cover photos for each of the issues were provided by Whitney </w:t>
      </w:r>
      <w:proofErr w:type="spellStart"/>
      <w:r w:rsidRPr="00E873E8">
        <w:t>Hadden</w:t>
      </w:r>
      <w:proofErr w:type="spellEnd"/>
      <w:r w:rsidRPr="00E873E8">
        <w:t>, Joshua Grant, Wendy Marchant, and Daniel Hagan</w:t>
      </w:r>
      <w:proofErr w:type="gramEnd"/>
      <w:r w:rsidRPr="00E873E8">
        <w:t xml:space="preserve">.  These </w:t>
      </w:r>
      <w:proofErr w:type="gramStart"/>
      <w:r w:rsidRPr="00E873E8">
        <w:t>were selected</w:t>
      </w:r>
      <w:proofErr w:type="gramEnd"/>
      <w:r w:rsidRPr="00E873E8">
        <w:t xml:space="preserve"> from among the entries in the 2016 GES Photo Salons.</w:t>
      </w:r>
    </w:p>
    <w:p w:rsidR="00E873E8" w:rsidRPr="00E873E8" w:rsidRDefault="00E873E8" w:rsidP="00E873E8">
      <w:pPr>
        <w:contextualSpacing/>
      </w:pPr>
    </w:p>
    <w:p w:rsidR="00E873E8" w:rsidRPr="00E873E8" w:rsidRDefault="00E873E8" w:rsidP="00E873E8">
      <w:pPr>
        <w:contextualSpacing/>
      </w:pPr>
      <w:r w:rsidRPr="00E873E8">
        <w:t xml:space="preserve">During 2017, 147 manuscripts </w:t>
      </w:r>
      <w:proofErr w:type="gramStart"/>
      <w:r w:rsidRPr="00E873E8">
        <w:t>were submitted</w:t>
      </w:r>
      <w:proofErr w:type="gramEnd"/>
      <w:r w:rsidRPr="00E873E8">
        <w:t xml:space="preserve"> for consideration of publication in the Journal.  The acceptance rate 55% with only three manuscripts with the authors for further revisions and consideration before acceptance.  Of those accepted, 52 have already been published in either volume 52 or in the first </w:t>
      </w:r>
      <w:proofErr w:type="gramStart"/>
      <w:r w:rsidRPr="00E873E8">
        <w:t>two</w:t>
      </w:r>
      <w:proofErr w:type="gramEnd"/>
      <w:r w:rsidRPr="00E873E8">
        <w:t xml:space="preserve"> issues of volume 53.  Twenty manuscripts are in the queue for production and publication in either the third </w:t>
      </w:r>
      <w:proofErr w:type="gramStart"/>
      <w:r w:rsidRPr="00E873E8">
        <w:t>or fourth</w:t>
      </w:r>
      <w:proofErr w:type="gramEnd"/>
      <w:r w:rsidRPr="00E873E8">
        <w:t xml:space="preserve"> issue in volume 53. </w:t>
      </w:r>
    </w:p>
    <w:p w:rsidR="00E873E8" w:rsidRPr="00E873E8" w:rsidRDefault="00E873E8" w:rsidP="00E873E8">
      <w:pPr>
        <w:contextualSpacing/>
      </w:pPr>
    </w:p>
    <w:p w:rsidR="00E873E8" w:rsidRPr="00E873E8" w:rsidRDefault="00E873E8" w:rsidP="00E873E8">
      <w:pPr>
        <w:contextualSpacing/>
      </w:pPr>
      <w:r w:rsidRPr="00E873E8">
        <w:t xml:space="preserve">Susan Thornhill, Business Manager, reported a balance of $8,690.73 in the </w:t>
      </w:r>
      <w:r w:rsidRPr="00E873E8">
        <w:rPr>
          <w:i/>
        </w:rPr>
        <w:t xml:space="preserve">Journal </w:t>
      </w:r>
      <w:r w:rsidRPr="00E873E8">
        <w:t xml:space="preserve">checking account at Regions Bank (Griffin, GA) as of 9 March 2018.  Her report of the deposits, disbursements, and balances for the fiscal year is in Table 2.  We will receive a payment of $10,953.00 from </w:t>
      </w:r>
      <w:proofErr w:type="spellStart"/>
      <w:r w:rsidRPr="00E873E8">
        <w:t>BioOne</w:t>
      </w:r>
      <w:proofErr w:type="spellEnd"/>
      <w:r w:rsidRPr="00E873E8">
        <w:t xml:space="preserve"> for Shared Surplus, or royalty, by the middle of April 2018.</w:t>
      </w:r>
    </w:p>
    <w:p w:rsidR="00E873E8" w:rsidRPr="00E873E8" w:rsidRDefault="00E873E8" w:rsidP="00E873E8">
      <w:pPr>
        <w:contextualSpacing/>
      </w:pPr>
    </w:p>
    <w:p w:rsidR="00E873E8" w:rsidRPr="00E873E8" w:rsidRDefault="00E873E8" w:rsidP="00E873E8">
      <w:pPr>
        <w:contextualSpacing/>
      </w:pPr>
      <w:r w:rsidRPr="00E873E8">
        <w:t xml:space="preserve">A summary by year of total submissions, acceptance rate, and journal account balances and net income for 2002 through 2016 </w:t>
      </w:r>
      <w:proofErr w:type="gramStart"/>
      <w:r w:rsidRPr="00E873E8">
        <w:t>is shown</w:t>
      </w:r>
      <w:proofErr w:type="gramEnd"/>
      <w:r w:rsidRPr="00E873E8">
        <w:t xml:space="preserve"> Table 3.</w:t>
      </w:r>
    </w:p>
    <w:p w:rsidR="00E873E8" w:rsidRPr="00E873E8" w:rsidRDefault="00E873E8" w:rsidP="00E873E8">
      <w:pPr>
        <w:contextualSpacing/>
      </w:pPr>
    </w:p>
    <w:p w:rsidR="00E873E8" w:rsidRPr="00E873E8" w:rsidRDefault="00E873E8" w:rsidP="00E873E8">
      <w:pPr>
        <w:contextualSpacing/>
      </w:pPr>
      <w:r w:rsidRPr="00E873E8">
        <w:t>Respectfully submitted this 3</w:t>
      </w:r>
      <w:r w:rsidRPr="00E873E8">
        <w:rPr>
          <w:vertAlign w:val="superscript"/>
        </w:rPr>
        <w:t>rd</w:t>
      </w:r>
      <w:r w:rsidRPr="00E873E8">
        <w:t xml:space="preserve"> Day of April 2018,</w:t>
      </w:r>
    </w:p>
    <w:p w:rsidR="00E873E8" w:rsidRPr="00E873E8" w:rsidRDefault="00E873E8" w:rsidP="00E873E8">
      <w:pPr>
        <w:contextualSpacing/>
      </w:pPr>
      <w:r w:rsidRPr="00E873E8">
        <w:rPr>
          <w:noProof/>
        </w:rPr>
        <w:drawing>
          <wp:inline distT="0" distB="0" distL="0" distR="0" wp14:anchorId="23ECF7AF" wp14:editId="54E6B23D">
            <wp:extent cx="904875" cy="400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13025" cy="404068"/>
                    </a:xfrm>
                    <a:prstGeom prst="rect">
                      <a:avLst/>
                    </a:prstGeom>
                  </pic:spPr>
                </pic:pic>
              </a:graphicData>
            </a:graphic>
          </wp:inline>
        </w:drawing>
      </w:r>
    </w:p>
    <w:p w:rsidR="00E873E8" w:rsidRPr="00E873E8" w:rsidRDefault="00E873E8" w:rsidP="00E873E8">
      <w:pPr>
        <w:contextualSpacing/>
      </w:pPr>
      <w:r w:rsidRPr="00E873E8">
        <w:t>Wayne A. Gardner, Editor</w:t>
      </w:r>
    </w:p>
    <w:p w:rsidR="00E873E8" w:rsidRPr="00E873E8" w:rsidRDefault="00E873E8" w:rsidP="00E873E8">
      <w:pPr>
        <w:rPr>
          <w:b/>
        </w:rPr>
      </w:pPr>
      <w:r w:rsidRPr="00E873E8">
        <w:rPr>
          <w:b/>
        </w:rPr>
        <w:br w:type="page"/>
      </w:r>
    </w:p>
    <w:p w:rsidR="00E873E8" w:rsidRPr="00E873E8" w:rsidRDefault="00E873E8" w:rsidP="00E873E8">
      <w:pPr>
        <w:contextualSpacing/>
        <w:rPr>
          <w:b/>
        </w:rPr>
      </w:pPr>
      <w:r w:rsidRPr="00E873E8">
        <w:rPr>
          <w:b/>
        </w:rPr>
        <w:lastRenderedPageBreak/>
        <w:t>Table 1.  Comparative summary of the number of papers published, total number of pages printed, and the average time from receipt of the papers to acceptance for volumes 40 through 52.</w:t>
      </w:r>
    </w:p>
    <w:p w:rsidR="00E873E8" w:rsidRPr="00E873E8" w:rsidRDefault="00E873E8" w:rsidP="00E873E8">
      <w:pPr>
        <w:contextualSpacing/>
      </w:pPr>
    </w:p>
    <w:tbl>
      <w:tblPr>
        <w:tblStyle w:val="TableGrid7"/>
        <w:tblW w:w="0" w:type="auto"/>
        <w:tblLook w:val="04A0" w:firstRow="1" w:lastRow="0" w:firstColumn="1" w:lastColumn="0" w:noHBand="0" w:noVBand="1"/>
      </w:tblPr>
      <w:tblGrid>
        <w:gridCol w:w="1188"/>
        <w:gridCol w:w="900"/>
        <w:gridCol w:w="1440"/>
        <w:gridCol w:w="1280"/>
        <w:gridCol w:w="1260"/>
        <w:gridCol w:w="1439"/>
        <w:gridCol w:w="1781"/>
      </w:tblGrid>
      <w:tr w:rsidR="00E873E8" w:rsidRPr="00E873E8" w:rsidTr="00E873E8">
        <w:tc>
          <w:tcPr>
            <w:tcW w:w="1188" w:type="dxa"/>
          </w:tcPr>
          <w:p w:rsidR="00E873E8" w:rsidRPr="00E873E8" w:rsidRDefault="00E873E8" w:rsidP="00E873E8">
            <w:pPr>
              <w:contextualSpacing/>
              <w:jc w:val="center"/>
              <w:rPr>
                <w:b/>
              </w:rPr>
            </w:pPr>
          </w:p>
          <w:p w:rsidR="00E873E8" w:rsidRPr="00E873E8" w:rsidRDefault="00E873E8" w:rsidP="00E873E8">
            <w:pPr>
              <w:contextualSpacing/>
              <w:jc w:val="center"/>
              <w:rPr>
                <w:b/>
              </w:rPr>
            </w:pPr>
            <w:r w:rsidRPr="00E873E8">
              <w:rPr>
                <w:b/>
              </w:rPr>
              <w:t>Volume</w:t>
            </w:r>
          </w:p>
        </w:tc>
        <w:tc>
          <w:tcPr>
            <w:tcW w:w="900" w:type="dxa"/>
          </w:tcPr>
          <w:p w:rsidR="00E873E8" w:rsidRPr="00E873E8" w:rsidRDefault="00E873E8" w:rsidP="00E873E8">
            <w:pPr>
              <w:contextualSpacing/>
              <w:jc w:val="center"/>
              <w:rPr>
                <w:b/>
              </w:rPr>
            </w:pPr>
          </w:p>
          <w:p w:rsidR="00E873E8" w:rsidRPr="00E873E8" w:rsidRDefault="00E873E8" w:rsidP="00E873E8">
            <w:pPr>
              <w:contextualSpacing/>
              <w:jc w:val="center"/>
              <w:rPr>
                <w:b/>
              </w:rPr>
            </w:pPr>
            <w:r w:rsidRPr="00E873E8">
              <w:rPr>
                <w:b/>
              </w:rPr>
              <w:t>Year</w:t>
            </w:r>
          </w:p>
        </w:tc>
        <w:tc>
          <w:tcPr>
            <w:tcW w:w="1440" w:type="dxa"/>
          </w:tcPr>
          <w:p w:rsidR="00E873E8" w:rsidRPr="00E873E8" w:rsidRDefault="00E873E8" w:rsidP="00E873E8">
            <w:pPr>
              <w:contextualSpacing/>
              <w:jc w:val="center"/>
              <w:rPr>
                <w:b/>
              </w:rPr>
            </w:pPr>
            <w:r w:rsidRPr="00E873E8">
              <w:rPr>
                <w:b/>
              </w:rPr>
              <w:t>Scientific Articles</w:t>
            </w:r>
          </w:p>
        </w:tc>
        <w:tc>
          <w:tcPr>
            <w:tcW w:w="1280" w:type="dxa"/>
          </w:tcPr>
          <w:p w:rsidR="00E873E8" w:rsidRPr="00E873E8" w:rsidRDefault="00E873E8" w:rsidP="00E873E8">
            <w:pPr>
              <w:contextualSpacing/>
              <w:jc w:val="center"/>
              <w:rPr>
                <w:b/>
              </w:rPr>
            </w:pPr>
            <w:r w:rsidRPr="00E873E8">
              <w:rPr>
                <w:b/>
              </w:rPr>
              <w:t>Scientific Notes</w:t>
            </w:r>
          </w:p>
        </w:tc>
        <w:tc>
          <w:tcPr>
            <w:tcW w:w="1260" w:type="dxa"/>
          </w:tcPr>
          <w:p w:rsidR="00E873E8" w:rsidRPr="00E873E8" w:rsidRDefault="00E873E8" w:rsidP="00E873E8">
            <w:pPr>
              <w:contextualSpacing/>
              <w:jc w:val="center"/>
              <w:rPr>
                <w:b/>
              </w:rPr>
            </w:pPr>
            <w:r w:rsidRPr="00E873E8">
              <w:rPr>
                <w:b/>
              </w:rPr>
              <w:t>Total</w:t>
            </w:r>
          </w:p>
          <w:p w:rsidR="00E873E8" w:rsidRPr="00E873E8" w:rsidRDefault="00E873E8" w:rsidP="00E873E8">
            <w:pPr>
              <w:contextualSpacing/>
              <w:jc w:val="center"/>
              <w:rPr>
                <w:b/>
              </w:rPr>
            </w:pPr>
            <w:r w:rsidRPr="00E873E8">
              <w:rPr>
                <w:b/>
              </w:rPr>
              <w:t>Articles</w:t>
            </w:r>
          </w:p>
        </w:tc>
        <w:tc>
          <w:tcPr>
            <w:tcW w:w="1439" w:type="dxa"/>
          </w:tcPr>
          <w:p w:rsidR="00E873E8" w:rsidRPr="00E873E8" w:rsidRDefault="00E873E8" w:rsidP="00E873E8">
            <w:pPr>
              <w:contextualSpacing/>
              <w:jc w:val="center"/>
              <w:rPr>
                <w:b/>
              </w:rPr>
            </w:pPr>
            <w:r w:rsidRPr="00E873E8">
              <w:rPr>
                <w:b/>
              </w:rPr>
              <w:t>Total Pages</w:t>
            </w:r>
          </w:p>
        </w:tc>
        <w:tc>
          <w:tcPr>
            <w:tcW w:w="1781" w:type="dxa"/>
          </w:tcPr>
          <w:p w:rsidR="00E873E8" w:rsidRPr="00E873E8" w:rsidRDefault="00E873E8" w:rsidP="00E873E8">
            <w:pPr>
              <w:contextualSpacing/>
              <w:jc w:val="center"/>
              <w:rPr>
                <w:b/>
              </w:rPr>
            </w:pPr>
            <w:r w:rsidRPr="00E873E8">
              <w:rPr>
                <w:b/>
              </w:rPr>
              <w:t>Time to Acceptance</w:t>
            </w:r>
          </w:p>
        </w:tc>
      </w:tr>
      <w:tr w:rsidR="00E873E8" w:rsidRPr="00E873E8" w:rsidTr="00E873E8">
        <w:tc>
          <w:tcPr>
            <w:tcW w:w="1188" w:type="dxa"/>
          </w:tcPr>
          <w:p w:rsidR="00E873E8" w:rsidRPr="00E873E8" w:rsidRDefault="00E873E8" w:rsidP="00E873E8">
            <w:pPr>
              <w:contextualSpacing/>
              <w:jc w:val="center"/>
            </w:pPr>
            <w:r w:rsidRPr="00E873E8">
              <w:t>40</w:t>
            </w:r>
          </w:p>
        </w:tc>
        <w:tc>
          <w:tcPr>
            <w:tcW w:w="900" w:type="dxa"/>
          </w:tcPr>
          <w:p w:rsidR="00E873E8" w:rsidRPr="00E873E8" w:rsidRDefault="00E873E8" w:rsidP="00E873E8">
            <w:pPr>
              <w:contextualSpacing/>
              <w:jc w:val="center"/>
            </w:pPr>
            <w:r w:rsidRPr="00E873E8">
              <w:t>2005</w:t>
            </w:r>
          </w:p>
        </w:tc>
        <w:tc>
          <w:tcPr>
            <w:tcW w:w="1440" w:type="dxa"/>
          </w:tcPr>
          <w:p w:rsidR="00E873E8" w:rsidRPr="00E873E8" w:rsidRDefault="00E873E8" w:rsidP="00E873E8">
            <w:pPr>
              <w:contextualSpacing/>
              <w:jc w:val="center"/>
            </w:pPr>
            <w:r w:rsidRPr="00E873E8">
              <w:t>47</w:t>
            </w:r>
          </w:p>
        </w:tc>
        <w:tc>
          <w:tcPr>
            <w:tcW w:w="1280" w:type="dxa"/>
          </w:tcPr>
          <w:p w:rsidR="00E873E8" w:rsidRPr="00E873E8" w:rsidRDefault="00E873E8" w:rsidP="00E873E8">
            <w:pPr>
              <w:contextualSpacing/>
              <w:jc w:val="center"/>
            </w:pPr>
            <w:r w:rsidRPr="00E873E8">
              <w:t>14</w:t>
            </w:r>
          </w:p>
        </w:tc>
        <w:tc>
          <w:tcPr>
            <w:tcW w:w="1260" w:type="dxa"/>
          </w:tcPr>
          <w:p w:rsidR="00E873E8" w:rsidRPr="00E873E8" w:rsidRDefault="00E873E8" w:rsidP="00E873E8">
            <w:pPr>
              <w:contextualSpacing/>
              <w:jc w:val="center"/>
            </w:pPr>
            <w:r w:rsidRPr="00E873E8">
              <w:t>61</w:t>
            </w:r>
          </w:p>
        </w:tc>
        <w:tc>
          <w:tcPr>
            <w:tcW w:w="1439" w:type="dxa"/>
          </w:tcPr>
          <w:p w:rsidR="00E873E8" w:rsidRPr="00E873E8" w:rsidRDefault="00E873E8" w:rsidP="00E873E8">
            <w:pPr>
              <w:contextualSpacing/>
              <w:jc w:val="center"/>
            </w:pPr>
            <w:r w:rsidRPr="00E873E8">
              <w:t>484</w:t>
            </w:r>
          </w:p>
        </w:tc>
        <w:tc>
          <w:tcPr>
            <w:tcW w:w="1781" w:type="dxa"/>
          </w:tcPr>
          <w:p w:rsidR="00E873E8" w:rsidRPr="00E873E8" w:rsidRDefault="00E873E8" w:rsidP="00E873E8">
            <w:pPr>
              <w:contextualSpacing/>
              <w:jc w:val="center"/>
            </w:pPr>
            <w:r w:rsidRPr="00E873E8">
              <w:t>89 d</w:t>
            </w:r>
          </w:p>
        </w:tc>
      </w:tr>
      <w:tr w:rsidR="00E873E8" w:rsidRPr="00E873E8" w:rsidTr="00E873E8">
        <w:tc>
          <w:tcPr>
            <w:tcW w:w="1188" w:type="dxa"/>
          </w:tcPr>
          <w:p w:rsidR="00E873E8" w:rsidRPr="00E873E8" w:rsidRDefault="00E873E8" w:rsidP="00E873E8">
            <w:pPr>
              <w:contextualSpacing/>
              <w:jc w:val="center"/>
            </w:pPr>
            <w:r w:rsidRPr="00E873E8">
              <w:t>41</w:t>
            </w:r>
          </w:p>
        </w:tc>
        <w:tc>
          <w:tcPr>
            <w:tcW w:w="900" w:type="dxa"/>
          </w:tcPr>
          <w:p w:rsidR="00E873E8" w:rsidRPr="00E873E8" w:rsidRDefault="00E873E8" w:rsidP="00E873E8">
            <w:pPr>
              <w:contextualSpacing/>
              <w:jc w:val="center"/>
            </w:pPr>
            <w:r w:rsidRPr="00E873E8">
              <w:t>2006</w:t>
            </w:r>
          </w:p>
        </w:tc>
        <w:tc>
          <w:tcPr>
            <w:tcW w:w="1440" w:type="dxa"/>
          </w:tcPr>
          <w:p w:rsidR="00E873E8" w:rsidRPr="00E873E8" w:rsidRDefault="00E873E8" w:rsidP="00E873E8">
            <w:pPr>
              <w:contextualSpacing/>
              <w:jc w:val="center"/>
            </w:pPr>
            <w:r w:rsidRPr="00E873E8">
              <w:t>34</w:t>
            </w:r>
          </w:p>
        </w:tc>
        <w:tc>
          <w:tcPr>
            <w:tcW w:w="1280" w:type="dxa"/>
          </w:tcPr>
          <w:p w:rsidR="00E873E8" w:rsidRPr="00E873E8" w:rsidRDefault="00E873E8" w:rsidP="00E873E8">
            <w:pPr>
              <w:contextualSpacing/>
              <w:jc w:val="center"/>
            </w:pPr>
            <w:r w:rsidRPr="00E873E8">
              <w:t>20</w:t>
            </w:r>
          </w:p>
        </w:tc>
        <w:tc>
          <w:tcPr>
            <w:tcW w:w="1260" w:type="dxa"/>
          </w:tcPr>
          <w:p w:rsidR="00E873E8" w:rsidRPr="00E873E8" w:rsidRDefault="00E873E8" w:rsidP="00E873E8">
            <w:pPr>
              <w:contextualSpacing/>
              <w:jc w:val="center"/>
            </w:pPr>
            <w:r w:rsidRPr="00E873E8">
              <w:t>54</w:t>
            </w:r>
          </w:p>
        </w:tc>
        <w:tc>
          <w:tcPr>
            <w:tcW w:w="1439" w:type="dxa"/>
          </w:tcPr>
          <w:p w:rsidR="00E873E8" w:rsidRPr="00E873E8" w:rsidRDefault="00E873E8" w:rsidP="00E873E8">
            <w:pPr>
              <w:contextualSpacing/>
              <w:jc w:val="center"/>
            </w:pPr>
            <w:r w:rsidRPr="00E873E8">
              <w:t>420</w:t>
            </w:r>
          </w:p>
        </w:tc>
        <w:tc>
          <w:tcPr>
            <w:tcW w:w="1781" w:type="dxa"/>
          </w:tcPr>
          <w:p w:rsidR="00E873E8" w:rsidRPr="00E873E8" w:rsidRDefault="00E873E8" w:rsidP="00E873E8">
            <w:pPr>
              <w:contextualSpacing/>
              <w:jc w:val="center"/>
            </w:pPr>
            <w:r w:rsidRPr="00E873E8">
              <w:t>79 d</w:t>
            </w:r>
          </w:p>
        </w:tc>
      </w:tr>
      <w:tr w:rsidR="00E873E8" w:rsidRPr="00E873E8" w:rsidTr="00E873E8">
        <w:tc>
          <w:tcPr>
            <w:tcW w:w="1188" w:type="dxa"/>
          </w:tcPr>
          <w:p w:rsidR="00E873E8" w:rsidRPr="00E873E8" w:rsidRDefault="00E873E8" w:rsidP="00E873E8">
            <w:pPr>
              <w:contextualSpacing/>
              <w:jc w:val="center"/>
            </w:pPr>
            <w:r w:rsidRPr="00E873E8">
              <w:t>42</w:t>
            </w:r>
          </w:p>
        </w:tc>
        <w:tc>
          <w:tcPr>
            <w:tcW w:w="900" w:type="dxa"/>
          </w:tcPr>
          <w:p w:rsidR="00E873E8" w:rsidRPr="00E873E8" w:rsidRDefault="00E873E8" w:rsidP="00E873E8">
            <w:pPr>
              <w:contextualSpacing/>
              <w:jc w:val="center"/>
            </w:pPr>
            <w:r w:rsidRPr="00E873E8">
              <w:t>2007</w:t>
            </w:r>
          </w:p>
        </w:tc>
        <w:tc>
          <w:tcPr>
            <w:tcW w:w="1440" w:type="dxa"/>
          </w:tcPr>
          <w:p w:rsidR="00E873E8" w:rsidRPr="00E873E8" w:rsidRDefault="00E873E8" w:rsidP="00E873E8">
            <w:pPr>
              <w:contextualSpacing/>
              <w:jc w:val="center"/>
            </w:pPr>
            <w:r w:rsidRPr="00E873E8">
              <w:t>51</w:t>
            </w:r>
          </w:p>
        </w:tc>
        <w:tc>
          <w:tcPr>
            <w:tcW w:w="1280" w:type="dxa"/>
          </w:tcPr>
          <w:p w:rsidR="00E873E8" w:rsidRPr="00E873E8" w:rsidRDefault="00E873E8" w:rsidP="00E873E8">
            <w:pPr>
              <w:contextualSpacing/>
              <w:jc w:val="center"/>
            </w:pPr>
            <w:r w:rsidRPr="00E873E8">
              <w:t>18</w:t>
            </w:r>
          </w:p>
        </w:tc>
        <w:tc>
          <w:tcPr>
            <w:tcW w:w="1260" w:type="dxa"/>
          </w:tcPr>
          <w:p w:rsidR="00E873E8" w:rsidRPr="00E873E8" w:rsidRDefault="00E873E8" w:rsidP="00E873E8">
            <w:pPr>
              <w:contextualSpacing/>
              <w:jc w:val="center"/>
            </w:pPr>
            <w:r w:rsidRPr="00E873E8">
              <w:t>69</w:t>
            </w:r>
          </w:p>
        </w:tc>
        <w:tc>
          <w:tcPr>
            <w:tcW w:w="1439" w:type="dxa"/>
          </w:tcPr>
          <w:p w:rsidR="00E873E8" w:rsidRPr="00E873E8" w:rsidRDefault="00E873E8" w:rsidP="00E873E8">
            <w:pPr>
              <w:contextualSpacing/>
              <w:jc w:val="center"/>
            </w:pPr>
            <w:r w:rsidRPr="00E873E8">
              <w:t>622</w:t>
            </w:r>
          </w:p>
        </w:tc>
        <w:tc>
          <w:tcPr>
            <w:tcW w:w="1781" w:type="dxa"/>
          </w:tcPr>
          <w:p w:rsidR="00E873E8" w:rsidRPr="00E873E8" w:rsidRDefault="00E873E8" w:rsidP="00E873E8">
            <w:pPr>
              <w:contextualSpacing/>
              <w:jc w:val="center"/>
            </w:pPr>
            <w:r w:rsidRPr="00E873E8">
              <w:t>81 d</w:t>
            </w:r>
          </w:p>
        </w:tc>
      </w:tr>
      <w:tr w:rsidR="00E873E8" w:rsidRPr="00E873E8" w:rsidTr="00E873E8">
        <w:tc>
          <w:tcPr>
            <w:tcW w:w="1188" w:type="dxa"/>
          </w:tcPr>
          <w:p w:rsidR="00E873E8" w:rsidRPr="00E873E8" w:rsidRDefault="00E873E8" w:rsidP="00E873E8">
            <w:pPr>
              <w:contextualSpacing/>
              <w:jc w:val="center"/>
            </w:pPr>
            <w:r w:rsidRPr="00E873E8">
              <w:t>43</w:t>
            </w:r>
          </w:p>
        </w:tc>
        <w:tc>
          <w:tcPr>
            <w:tcW w:w="900" w:type="dxa"/>
          </w:tcPr>
          <w:p w:rsidR="00E873E8" w:rsidRPr="00E873E8" w:rsidRDefault="00E873E8" w:rsidP="00E873E8">
            <w:pPr>
              <w:contextualSpacing/>
              <w:jc w:val="center"/>
            </w:pPr>
            <w:r w:rsidRPr="00E873E8">
              <w:t>2008</w:t>
            </w:r>
          </w:p>
        </w:tc>
        <w:tc>
          <w:tcPr>
            <w:tcW w:w="1440" w:type="dxa"/>
          </w:tcPr>
          <w:p w:rsidR="00E873E8" w:rsidRPr="00E873E8" w:rsidRDefault="00E873E8" w:rsidP="00E873E8">
            <w:pPr>
              <w:contextualSpacing/>
              <w:jc w:val="center"/>
            </w:pPr>
            <w:r w:rsidRPr="00E873E8">
              <w:t>34</w:t>
            </w:r>
          </w:p>
        </w:tc>
        <w:tc>
          <w:tcPr>
            <w:tcW w:w="1280" w:type="dxa"/>
          </w:tcPr>
          <w:p w:rsidR="00E873E8" w:rsidRPr="00E873E8" w:rsidRDefault="00E873E8" w:rsidP="00E873E8">
            <w:pPr>
              <w:contextualSpacing/>
              <w:jc w:val="center"/>
            </w:pPr>
            <w:r w:rsidRPr="00E873E8">
              <w:t>17</w:t>
            </w:r>
          </w:p>
        </w:tc>
        <w:tc>
          <w:tcPr>
            <w:tcW w:w="1260" w:type="dxa"/>
          </w:tcPr>
          <w:p w:rsidR="00E873E8" w:rsidRPr="00E873E8" w:rsidRDefault="00E873E8" w:rsidP="00E873E8">
            <w:pPr>
              <w:contextualSpacing/>
              <w:jc w:val="center"/>
            </w:pPr>
            <w:r w:rsidRPr="00E873E8">
              <w:t>51</w:t>
            </w:r>
          </w:p>
        </w:tc>
        <w:tc>
          <w:tcPr>
            <w:tcW w:w="1439" w:type="dxa"/>
          </w:tcPr>
          <w:p w:rsidR="00E873E8" w:rsidRPr="00E873E8" w:rsidRDefault="00E873E8" w:rsidP="00E873E8">
            <w:pPr>
              <w:contextualSpacing/>
              <w:jc w:val="center"/>
            </w:pPr>
            <w:r w:rsidRPr="00E873E8">
              <w:t>459</w:t>
            </w:r>
          </w:p>
        </w:tc>
        <w:tc>
          <w:tcPr>
            <w:tcW w:w="1781" w:type="dxa"/>
          </w:tcPr>
          <w:p w:rsidR="00E873E8" w:rsidRPr="00E873E8" w:rsidRDefault="00E873E8" w:rsidP="00E873E8">
            <w:pPr>
              <w:contextualSpacing/>
              <w:jc w:val="center"/>
            </w:pPr>
            <w:r w:rsidRPr="00E873E8">
              <w:t>87 d</w:t>
            </w:r>
          </w:p>
        </w:tc>
      </w:tr>
      <w:tr w:rsidR="00E873E8" w:rsidRPr="00E873E8" w:rsidTr="00E873E8">
        <w:tc>
          <w:tcPr>
            <w:tcW w:w="1188" w:type="dxa"/>
          </w:tcPr>
          <w:p w:rsidR="00E873E8" w:rsidRPr="00E873E8" w:rsidRDefault="00E873E8" w:rsidP="00E873E8">
            <w:pPr>
              <w:contextualSpacing/>
              <w:jc w:val="center"/>
            </w:pPr>
            <w:r w:rsidRPr="00E873E8">
              <w:t>44</w:t>
            </w:r>
          </w:p>
        </w:tc>
        <w:tc>
          <w:tcPr>
            <w:tcW w:w="900" w:type="dxa"/>
          </w:tcPr>
          <w:p w:rsidR="00E873E8" w:rsidRPr="00E873E8" w:rsidRDefault="00E873E8" w:rsidP="00E873E8">
            <w:pPr>
              <w:contextualSpacing/>
              <w:jc w:val="center"/>
            </w:pPr>
            <w:r w:rsidRPr="00E873E8">
              <w:t>2009</w:t>
            </w:r>
          </w:p>
        </w:tc>
        <w:tc>
          <w:tcPr>
            <w:tcW w:w="1440" w:type="dxa"/>
          </w:tcPr>
          <w:p w:rsidR="00E873E8" w:rsidRPr="00E873E8" w:rsidRDefault="00E873E8" w:rsidP="00E873E8">
            <w:pPr>
              <w:contextualSpacing/>
              <w:jc w:val="center"/>
            </w:pPr>
            <w:r w:rsidRPr="00E873E8">
              <w:t>35</w:t>
            </w:r>
          </w:p>
        </w:tc>
        <w:tc>
          <w:tcPr>
            <w:tcW w:w="1280" w:type="dxa"/>
          </w:tcPr>
          <w:p w:rsidR="00E873E8" w:rsidRPr="00E873E8" w:rsidRDefault="00E873E8" w:rsidP="00E873E8">
            <w:pPr>
              <w:contextualSpacing/>
              <w:jc w:val="center"/>
            </w:pPr>
            <w:r w:rsidRPr="00E873E8">
              <w:t>11</w:t>
            </w:r>
          </w:p>
        </w:tc>
        <w:tc>
          <w:tcPr>
            <w:tcW w:w="1260" w:type="dxa"/>
          </w:tcPr>
          <w:p w:rsidR="00E873E8" w:rsidRPr="00E873E8" w:rsidRDefault="00E873E8" w:rsidP="00E873E8">
            <w:pPr>
              <w:contextualSpacing/>
              <w:jc w:val="center"/>
            </w:pPr>
            <w:r w:rsidRPr="00E873E8">
              <w:t>46</w:t>
            </w:r>
          </w:p>
        </w:tc>
        <w:tc>
          <w:tcPr>
            <w:tcW w:w="1439" w:type="dxa"/>
          </w:tcPr>
          <w:p w:rsidR="00E873E8" w:rsidRPr="00E873E8" w:rsidRDefault="00E873E8" w:rsidP="00E873E8">
            <w:pPr>
              <w:contextualSpacing/>
              <w:jc w:val="center"/>
            </w:pPr>
            <w:r w:rsidRPr="00E873E8">
              <w:t>420</w:t>
            </w:r>
          </w:p>
        </w:tc>
        <w:tc>
          <w:tcPr>
            <w:tcW w:w="1781" w:type="dxa"/>
          </w:tcPr>
          <w:p w:rsidR="00E873E8" w:rsidRPr="00E873E8" w:rsidRDefault="00E873E8" w:rsidP="00E873E8">
            <w:pPr>
              <w:contextualSpacing/>
              <w:jc w:val="center"/>
            </w:pPr>
            <w:r w:rsidRPr="00E873E8">
              <w:t>79 d</w:t>
            </w:r>
          </w:p>
        </w:tc>
      </w:tr>
      <w:tr w:rsidR="00E873E8" w:rsidRPr="00E873E8" w:rsidTr="00E873E8">
        <w:tc>
          <w:tcPr>
            <w:tcW w:w="1188" w:type="dxa"/>
          </w:tcPr>
          <w:p w:rsidR="00E873E8" w:rsidRPr="00E873E8" w:rsidRDefault="00E873E8" w:rsidP="00E873E8">
            <w:pPr>
              <w:contextualSpacing/>
              <w:jc w:val="center"/>
            </w:pPr>
            <w:r w:rsidRPr="00E873E8">
              <w:t>45</w:t>
            </w:r>
          </w:p>
        </w:tc>
        <w:tc>
          <w:tcPr>
            <w:tcW w:w="900" w:type="dxa"/>
          </w:tcPr>
          <w:p w:rsidR="00E873E8" w:rsidRPr="00E873E8" w:rsidRDefault="00E873E8" w:rsidP="00E873E8">
            <w:pPr>
              <w:contextualSpacing/>
              <w:jc w:val="center"/>
            </w:pPr>
            <w:r w:rsidRPr="00E873E8">
              <w:t>2010</w:t>
            </w:r>
          </w:p>
        </w:tc>
        <w:tc>
          <w:tcPr>
            <w:tcW w:w="1440" w:type="dxa"/>
          </w:tcPr>
          <w:p w:rsidR="00E873E8" w:rsidRPr="00E873E8" w:rsidRDefault="00E873E8" w:rsidP="00E873E8">
            <w:pPr>
              <w:contextualSpacing/>
              <w:jc w:val="center"/>
            </w:pPr>
            <w:r w:rsidRPr="00E873E8">
              <w:t>33</w:t>
            </w:r>
          </w:p>
        </w:tc>
        <w:tc>
          <w:tcPr>
            <w:tcW w:w="1280" w:type="dxa"/>
          </w:tcPr>
          <w:p w:rsidR="00E873E8" w:rsidRPr="00E873E8" w:rsidRDefault="00E873E8" w:rsidP="00E873E8">
            <w:pPr>
              <w:contextualSpacing/>
              <w:jc w:val="center"/>
            </w:pPr>
            <w:r w:rsidRPr="00E873E8">
              <w:t>12</w:t>
            </w:r>
          </w:p>
        </w:tc>
        <w:tc>
          <w:tcPr>
            <w:tcW w:w="1260" w:type="dxa"/>
          </w:tcPr>
          <w:p w:rsidR="00E873E8" w:rsidRPr="00E873E8" w:rsidRDefault="00E873E8" w:rsidP="00E873E8">
            <w:pPr>
              <w:contextualSpacing/>
              <w:jc w:val="center"/>
            </w:pPr>
            <w:r w:rsidRPr="00E873E8">
              <w:t>45</w:t>
            </w:r>
          </w:p>
        </w:tc>
        <w:tc>
          <w:tcPr>
            <w:tcW w:w="1439" w:type="dxa"/>
          </w:tcPr>
          <w:p w:rsidR="00E873E8" w:rsidRPr="00E873E8" w:rsidRDefault="00E873E8" w:rsidP="00E873E8">
            <w:pPr>
              <w:contextualSpacing/>
              <w:jc w:val="center"/>
            </w:pPr>
            <w:r w:rsidRPr="00E873E8">
              <w:t>402</w:t>
            </w:r>
          </w:p>
        </w:tc>
        <w:tc>
          <w:tcPr>
            <w:tcW w:w="1781" w:type="dxa"/>
          </w:tcPr>
          <w:p w:rsidR="00E873E8" w:rsidRPr="00E873E8" w:rsidRDefault="00E873E8" w:rsidP="00E873E8">
            <w:pPr>
              <w:contextualSpacing/>
              <w:jc w:val="center"/>
            </w:pPr>
            <w:r w:rsidRPr="00E873E8">
              <w:t>106 d</w:t>
            </w:r>
          </w:p>
        </w:tc>
      </w:tr>
      <w:tr w:rsidR="00E873E8" w:rsidRPr="00E873E8" w:rsidTr="00E873E8">
        <w:tc>
          <w:tcPr>
            <w:tcW w:w="1188" w:type="dxa"/>
          </w:tcPr>
          <w:p w:rsidR="00E873E8" w:rsidRPr="00E873E8" w:rsidRDefault="00E873E8" w:rsidP="00E873E8">
            <w:pPr>
              <w:contextualSpacing/>
              <w:jc w:val="center"/>
            </w:pPr>
            <w:r w:rsidRPr="00E873E8">
              <w:t>46</w:t>
            </w:r>
          </w:p>
        </w:tc>
        <w:tc>
          <w:tcPr>
            <w:tcW w:w="900" w:type="dxa"/>
          </w:tcPr>
          <w:p w:rsidR="00E873E8" w:rsidRPr="00E873E8" w:rsidRDefault="00E873E8" w:rsidP="00E873E8">
            <w:pPr>
              <w:contextualSpacing/>
              <w:jc w:val="center"/>
            </w:pPr>
            <w:r w:rsidRPr="00E873E8">
              <w:t>2011</w:t>
            </w:r>
          </w:p>
        </w:tc>
        <w:tc>
          <w:tcPr>
            <w:tcW w:w="1440" w:type="dxa"/>
          </w:tcPr>
          <w:p w:rsidR="00E873E8" w:rsidRPr="00E873E8" w:rsidRDefault="00E873E8" w:rsidP="00E873E8">
            <w:pPr>
              <w:contextualSpacing/>
              <w:jc w:val="center"/>
            </w:pPr>
            <w:r w:rsidRPr="00E873E8">
              <w:t>31</w:t>
            </w:r>
          </w:p>
        </w:tc>
        <w:tc>
          <w:tcPr>
            <w:tcW w:w="1280" w:type="dxa"/>
          </w:tcPr>
          <w:p w:rsidR="00E873E8" w:rsidRPr="00E873E8" w:rsidRDefault="00E873E8" w:rsidP="00E873E8">
            <w:pPr>
              <w:contextualSpacing/>
              <w:jc w:val="center"/>
            </w:pPr>
            <w:r w:rsidRPr="00E873E8">
              <w:t>10</w:t>
            </w:r>
          </w:p>
        </w:tc>
        <w:tc>
          <w:tcPr>
            <w:tcW w:w="1260" w:type="dxa"/>
          </w:tcPr>
          <w:p w:rsidR="00E873E8" w:rsidRPr="00E873E8" w:rsidRDefault="00E873E8" w:rsidP="00E873E8">
            <w:pPr>
              <w:contextualSpacing/>
              <w:jc w:val="center"/>
            </w:pPr>
            <w:r w:rsidRPr="00E873E8">
              <w:t>41</w:t>
            </w:r>
          </w:p>
        </w:tc>
        <w:tc>
          <w:tcPr>
            <w:tcW w:w="1439" w:type="dxa"/>
          </w:tcPr>
          <w:p w:rsidR="00E873E8" w:rsidRPr="00E873E8" w:rsidRDefault="00E873E8" w:rsidP="00E873E8">
            <w:pPr>
              <w:contextualSpacing/>
              <w:jc w:val="center"/>
            </w:pPr>
            <w:r w:rsidRPr="00E873E8">
              <w:t>348</w:t>
            </w:r>
          </w:p>
        </w:tc>
        <w:tc>
          <w:tcPr>
            <w:tcW w:w="1781" w:type="dxa"/>
          </w:tcPr>
          <w:p w:rsidR="00E873E8" w:rsidRPr="00E873E8" w:rsidRDefault="00E873E8" w:rsidP="00E873E8">
            <w:pPr>
              <w:contextualSpacing/>
              <w:jc w:val="center"/>
            </w:pPr>
            <w:r w:rsidRPr="00E873E8">
              <w:t>84 d</w:t>
            </w:r>
          </w:p>
        </w:tc>
      </w:tr>
      <w:tr w:rsidR="00E873E8" w:rsidRPr="00E873E8" w:rsidTr="00E873E8">
        <w:tc>
          <w:tcPr>
            <w:tcW w:w="1188" w:type="dxa"/>
          </w:tcPr>
          <w:p w:rsidR="00E873E8" w:rsidRPr="00E873E8" w:rsidRDefault="00E873E8" w:rsidP="00E873E8">
            <w:pPr>
              <w:contextualSpacing/>
              <w:jc w:val="center"/>
            </w:pPr>
            <w:r w:rsidRPr="00E873E8">
              <w:t>47</w:t>
            </w:r>
          </w:p>
        </w:tc>
        <w:tc>
          <w:tcPr>
            <w:tcW w:w="900" w:type="dxa"/>
          </w:tcPr>
          <w:p w:rsidR="00E873E8" w:rsidRPr="00E873E8" w:rsidRDefault="00E873E8" w:rsidP="00E873E8">
            <w:pPr>
              <w:contextualSpacing/>
              <w:jc w:val="center"/>
            </w:pPr>
            <w:r w:rsidRPr="00E873E8">
              <w:t>2012</w:t>
            </w:r>
          </w:p>
        </w:tc>
        <w:tc>
          <w:tcPr>
            <w:tcW w:w="1440" w:type="dxa"/>
          </w:tcPr>
          <w:p w:rsidR="00E873E8" w:rsidRPr="00E873E8" w:rsidRDefault="00E873E8" w:rsidP="00E873E8">
            <w:pPr>
              <w:contextualSpacing/>
              <w:jc w:val="center"/>
            </w:pPr>
            <w:r w:rsidRPr="00E873E8">
              <w:t>31</w:t>
            </w:r>
          </w:p>
        </w:tc>
        <w:tc>
          <w:tcPr>
            <w:tcW w:w="1280" w:type="dxa"/>
          </w:tcPr>
          <w:p w:rsidR="00E873E8" w:rsidRPr="00E873E8" w:rsidRDefault="00E873E8" w:rsidP="00E873E8">
            <w:pPr>
              <w:contextualSpacing/>
              <w:jc w:val="center"/>
            </w:pPr>
            <w:r w:rsidRPr="00E873E8">
              <w:t>13</w:t>
            </w:r>
          </w:p>
        </w:tc>
        <w:tc>
          <w:tcPr>
            <w:tcW w:w="1260" w:type="dxa"/>
          </w:tcPr>
          <w:p w:rsidR="00E873E8" w:rsidRPr="00E873E8" w:rsidRDefault="00E873E8" w:rsidP="00E873E8">
            <w:pPr>
              <w:contextualSpacing/>
              <w:jc w:val="center"/>
            </w:pPr>
            <w:r w:rsidRPr="00E873E8">
              <w:t>44</w:t>
            </w:r>
          </w:p>
        </w:tc>
        <w:tc>
          <w:tcPr>
            <w:tcW w:w="1439" w:type="dxa"/>
          </w:tcPr>
          <w:p w:rsidR="00E873E8" w:rsidRPr="00E873E8" w:rsidRDefault="00E873E8" w:rsidP="00E873E8">
            <w:pPr>
              <w:contextualSpacing/>
              <w:jc w:val="center"/>
            </w:pPr>
            <w:r w:rsidRPr="00E873E8">
              <w:t>384</w:t>
            </w:r>
          </w:p>
        </w:tc>
        <w:tc>
          <w:tcPr>
            <w:tcW w:w="1781" w:type="dxa"/>
          </w:tcPr>
          <w:p w:rsidR="00E873E8" w:rsidRPr="00E873E8" w:rsidRDefault="00E873E8" w:rsidP="00E873E8">
            <w:pPr>
              <w:contextualSpacing/>
              <w:jc w:val="center"/>
            </w:pPr>
            <w:r w:rsidRPr="00E873E8">
              <w:t>90 d</w:t>
            </w:r>
          </w:p>
        </w:tc>
      </w:tr>
      <w:tr w:rsidR="00E873E8" w:rsidRPr="00E873E8" w:rsidTr="00E873E8">
        <w:tc>
          <w:tcPr>
            <w:tcW w:w="1188" w:type="dxa"/>
          </w:tcPr>
          <w:p w:rsidR="00E873E8" w:rsidRPr="00E873E8" w:rsidRDefault="00E873E8" w:rsidP="00E873E8">
            <w:pPr>
              <w:contextualSpacing/>
              <w:jc w:val="center"/>
            </w:pPr>
            <w:r w:rsidRPr="00E873E8">
              <w:t>48</w:t>
            </w:r>
          </w:p>
        </w:tc>
        <w:tc>
          <w:tcPr>
            <w:tcW w:w="900" w:type="dxa"/>
          </w:tcPr>
          <w:p w:rsidR="00E873E8" w:rsidRPr="00E873E8" w:rsidRDefault="00E873E8" w:rsidP="00E873E8">
            <w:pPr>
              <w:contextualSpacing/>
              <w:jc w:val="center"/>
            </w:pPr>
            <w:r w:rsidRPr="00E873E8">
              <w:t>2013</w:t>
            </w:r>
          </w:p>
        </w:tc>
        <w:tc>
          <w:tcPr>
            <w:tcW w:w="1440" w:type="dxa"/>
          </w:tcPr>
          <w:p w:rsidR="00E873E8" w:rsidRPr="00E873E8" w:rsidRDefault="00E873E8" w:rsidP="00E873E8">
            <w:pPr>
              <w:contextualSpacing/>
              <w:jc w:val="center"/>
            </w:pPr>
            <w:r w:rsidRPr="00E873E8">
              <w:t>32</w:t>
            </w:r>
          </w:p>
        </w:tc>
        <w:tc>
          <w:tcPr>
            <w:tcW w:w="1280" w:type="dxa"/>
          </w:tcPr>
          <w:p w:rsidR="00E873E8" w:rsidRPr="00E873E8" w:rsidRDefault="00E873E8" w:rsidP="00E873E8">
            <w:pPr>
              <w:contextualSpacing/>
              <w:jc w:val="center"/>
            </w:pPr>
            <w:r w:rsidRPr="00E873E8">
              <w:t>11</w:t>
            </w:r>
          </w:p>
        </w:tc>
        <w:tc>
          <w:tcPr>
            <w:tcW w:w="1260" w:type="dxa"/>
          </w:tcPr>
          <w:p w:rsidR="00E873E8" w:rsidRPr="00E873E8" w:rsidRDefault="00E873E8" w:rsidP="00E873E8">
            <w:pPr>
              <w:contextualSpacing/>
              <w:jc w:val="center"/>
            </w:pPr>
            <w:r w:rsidRPr="00E873E8">
              <w:t>43</w:t>
            </w:r>
          </w:p>
        </w:tc>
        <w:tc>
          <w:tcPr>
            <w:tcW w:w="1439" w:type="dxa"/>
          </w:tcPr>
          <w:p w:rsidR="00E873E8" w:rsidRPr="00E873E8" w:rsidRDefault="00E873E8" w:rsidP="00E873E8">
            <w:pPr>
              <w:contextualSpacing/>
              <w:jc w:val="center"/>
            </w:pPr>
            <w:r w:rsidRPr="00E873E8">
              <w:t>364</w:t>
            </w:r>
          </w:p>
        </w:tc>
        <w:tc>
          <w:tcPr>
            <w:tcW w:w="1781" w:type="dxa"/>
          </w:tcPr>
          <w:p w:rsidR="00E873E8" w:rsidRPr="00E873E8" w:rsidRDefault="00E873E8" w:rsidP="00E873E8">
            <w:pPr>
              <w:contextualSpacing/>
              <w:jc w:val="center"/>
            </w:pPr>
            <w:r w:rsidRPr="00E873E8">
              <w:t>80 d</w:t>
            </w:r>
          </w:p>
        </w:tc>
      </w:tr>
      <w:tr w:rsidR="00E873E8" w:rsidRPr="00E873E8" w:rsidTr="00E873E8">
        <w:tc>
          <w:tcPr>
            <w:tcW w:w="1188" w:type="dxa"/>
          </w:tcPr>
          <w:p w:rsidR="00E873E8" w:rsidRPr="00E873E8" w:rsidRDefault="00E873E8" w:rsidP="00E873E8">
            <w:pPr>
              <w:contextualSpacing/>
              <w:jc w:val="center"/>
            </w:pPr>
            <w:r w:rsidRPr="00E873E8">
              <w:t>49</w:t>
            </w:r>
          </w:p>
        </w:tc>
        <w:tc>
          <w:tcPr>
            <w:tcW w:w="900" w:type="dxa"/>
          </w:tcPr>
          <w:p w:rsidR="00E873E8" w:rsidRPr="00E873E8" w:rsidRDefault="00E873E8" w:rsidP="00E873E8">
            <w:pPr>
              <w:contextualSpacing/>
              <w:jc w:val="center"/>
            </w:pPr>
            <w:r w:rsidRPr="00E873E8">
              <w:t>2014</w:t>
            </w:r>
          </w:p>
        </w:tc>
        <w:tc>
          <w:tcPr>
            <w:tcW w:w="1440" w:type="dxa"/>
          </w:tcPr>
          <w:p w:rsidR="00E873E8" w:rsidRPr="00E873E8" w:rsidRDefault="00E873E8" w:rsidP="00E873E8">
            <w:pPr>
              <w:contextualSpacing/>
              <w:jc w:val="center"/>
            </w:pPr>
            <w:r w:rsidRPr="00E873E8">
              <w:t>31</w:t>
            </w:r>
          </w:p>
        </w:tc>
        <w:tc>
          <w:tcPr>
            <w:tcW w:w="1280" w:type="dxa"/>
          </w:tcPr>
          <w:p w:rsidR="00E873E8" w:rsidRPr="00E873E8" w:rsidRDefault="00E873E8" w:rsidP="00E873E8">
            <w:pPr>
              <w:contextualSpacing/>
              <w:jc w:val="center"/>
            </w:pPr>
            <w:r w:rsidRPr="00E873E8">
              <w:t>15</w:t>
            </w:r>
          </w:p>
        </w:tc>
        <w:tc>
          <w:tcPr>
            <w:tcW w:w="1260" w:type="dxa"/>
          </w:tcPr>
          <w:p w:rsidR="00E873E8" w:rsidRPr="00E873E8" w:rsidRDefault="00E873E8" w:rsidP="00E873E8">
            <w:pPr>
              <w:contextualSpacing/>
              <w:jc w:val="center"/>
            </w:pPr>
            <w:r w:rsidRPr="00E873E8">
              <w:t>46</w:t>
            </w:r>
          </w:p>
        </w:tc>
        <w:tc>
          <w:tcPr>
            <w:tcW w:w="1439" w:type="dxa"/>
          </w:tcPr>
          <w:p w:rsidR="00E873E8" w:rsidRPr="00E873E8" w:rsidRDefault="00E873E8" w:rsidP="00E873E8">
            <w:pPr>
              <w:contextualSpacing/>
              <w:jc w:val="center"/>
            </w:pPr>
            <w:r w:rsidRPr="00E873E8">
              <w:t>424</w:t>
            </w:r>
          </w:p>
        </w:tc>
        <w:tc>
          <w:tcPr>
            <w:tcW w:w="1781" w:type="dxa"/>
          </w:tcPr>
          <w:p w:rsidR="00E873E8" w:rsidRPr="00E873E8" w:rsidRDefault="00E873E8" w:rsidP="00E873E8">
            <w:pPr>
              <w:contextualSpacing/>
              <w:jc w:val="center"/>
            </w:pPr>
            <w:r w:rsidRPr="00E873E8">
              <w:t>83 d</w:t>
            </w:r>
          </w:p>
        </w:tc>
      </w:tr>
      <w:tr w:rsidR="00E873E8" w:rsidRPr="00E873E8" w:rsidTr="00E873E8">
        <w:tc>
          <w:tcPr>
            <w:tcW w:w="1188" w:type="dxa"/>
          </w:tcPr>
          <w:p w:rsidR="00E873E8" w:rsidRPr="00E873E8" w:rsidRDefault="00E873E8" w:rsidP="00E873E8">
            <w:pPr>
              <w:contextualSpacing/>
              <w:jc w:val="center"/>
            </w:pPr>
            <w:r w:rsidRPr="00E873E8">
              <w:t>50</w:t>
            </w:r>
          </w:p>
        </w:tc>
        <w:tc>
          <w:tcPr>
            <w:tcW w:w="900" w:type="dxa"/>
          </w:tcPr>
          <w:p w:rsidR="00E873E8" w:rsidRPr="00E873E8" w:rsidRDefault="00E873E8" w:rsidP="00E873E8">
            <w:pPr>
              <w:contextualSpacing/>
              <w:jc w:val="center"/>
            </w:pPr>
            <w:r w:rsidRPr="00E873E8">
              <w:t>2015</w:t>
            </w:r>
          </w:p>
        </w:tc>
        <w:tc>
          <w:tcPr>
            <w:tcW w:w="1440" w:type="dxa"/>
          </w:tcPr>
          <w:p w:rsidR="00E873E8" w:rsidRPr="00E873E8" w:rsidRDefault="00E873E8" w:rsidP="00E873E8">
            <w:pPr>
              <w:contextualSpacing/>
              <w:jc w:val="center"/>
            </w:pPr>
            <w:r w:rsidRPr="00E873E8">
              <w:t>23</w:t>
            </w:r>
          </w:p>
        </w:tc>
        <w:tc>
          <w:tcPr>
            <w:tcW w:w="1280" w:type="dxa"/>
          </w:tcPr>
          <w:p w:rsidR="00E873E8" w:rsidRPr="00E873E8" w:rsidRDefault="00E873E8" w:rsidP="00E873E8">
            <w:pPr>
              <w:contextualSpacing/>
              <w:jc w:val="center"/>
            </w:pPr>
            <w:r w:rsidRPr="00E873E8">
              <w:t>10</w:t>
            </w:r>
          </w:p>
        </w:tc>
        <w:tc>
          <w:tcPr>
            <w:tcW w:w="1260" w:type="dxa"/>
          </w:tcPr>
          <w:p w:rsidR="00E873E8" w:rsidRPr="00E873E8" w:rsidRDefault="00E873E8" w:rsidP="00E873E8">
            <w:pPr>
              <w:contextualSpacing/>
              <w:jc w:val="center"/>
            </w:pPr>
            <w:r w:rsidRPr="00E873E8">
              <w:t>34</w:t>
            </w:r>
          </w:p>
        </w:tc>
        <w:tc>
          <w:tcPr>
            <w:tcW w:w="1439" w:type="dxa"/>
          </w:tcPr>
          <w:p w:rsidR="00E873E8" w:rsidRPr="00E873E8" w:rsidRDefault="00E873E8" w:rsidP="00E873E8">
            <w:pPr>
              <w:contextualSpacing/>
              <w:jc w:val="center"/>
            </w:pPr>
            <w:r w:rsidRPr="00E873E8">
              <w:t>366</w:t>
            </w:r>
          </w:p>
        </w:tc>
        <w:tc>
          <w:tcPr>
            <w:tcW w:w="1781" w:type="dxa"/>
          </w:tcPr>
          <w:p w:rsidR="00E873E8" w:rsidRPr="00E873E8" w:rsidRDefault="00E873E8" w:rsidP="00E873E8">
            <w:pPr>
              <w:contextualSpacing/>
              <w:jc w:val="center"/>
            </w:pPr>
            <w:r w:rsidRPr="00E873E8">
              <w:t>91 d</w:t>
            </w:r>
          </w:p>
        </w:tc>
      </w:tr>
      <w:tr w:rsidR="00E873E8" w:rsidRPr="00E873E8" w:rsidTr="00E873E8">
        <w:tc>
          <w:tcPr>
            <w:tcW w:w="1188" w:type="dxa"/>
          </w:tcPr>
          <w:p w:rsidR="00E873E8" w:rsidRPr="00E873E8" w:rsidRDefault="00E873E8" w:rsidP="00E873E8">
            <w:pPr>
              <w:contextualSpacing/>
              <w:jc w:val="center"/>
            </w:pPr>
            <w:r w:rsidRPr="00E873E8">
              <w:t>51</w:t>
            </w:r>
          </w:p>
        </w:tc>
        <w:tc>
          <w:tcPr>
            <w:tcW w:w="900" w:type="dxa"/>
          </w:tcPr>
          <w:p w:rsidR="00E873E8" w:rsidRPr="00E873E8" w:rsidRDefault="00E873E8" w:rsidP="00E873E8">
            <w:pPr>
              <w:contextualSpacing/>
              <w:jc w:val="center"/>
            </w:pPr>
            <w:r w:rsidRPr="00E873E8">
              <w:t>2016</w:t>
            </w:r>
          </w:p>
        </w:tc>
        <w:tc>
          <w:tcPr>
            <w:tcW w:w="1440" w:type="dxa"/>
          </w:tcPr>
          <w:p w:rsidR="00E873E8" w:rsidRPr="00E873E8" w:rsidRDefault="00E873E8" w:rsidP="00E873E8">
            <w:pPr>
              <w:contextualSpacing/>
              <w:jc w:val="center"/>
            </w:pPr>
            <w:r w:rsidRPr="00E873E8">
              <w:t>25</w:t>
            </w:r>
          </w:p>
        </w:tc>
        <w:tc>
          <w:tcPr>
            <w:tcW w:w="1280" w:type="dxa"/>
          </w:tcPr>
          <w:p w:rsidR="00E873E8" w:rsidRPr="00E873E8" w:rsidRDefault="00E873E8" w:rsidP="00E873E8">
            <w:pPr>
              <w:contextualSpacing/>
              <w:jc w:val="center"/>
            </w:pPr>
            <w:r w:rsidRPr="00E873E8">
              <w:t>10</w:t>
            </w:r>
          </w:p>
        </w:tc>
        <w:tc>
          <w:tcPr>
            <w:tcW w:w="1260" w:type="dxa"/>
          </w:tcPr>
          <w:p w:rsidR="00E873E8" w:rsidRPr="00E873E8" w:rsidRDefault="00E873E8" w:rsidP="00E873E8">
            <w:pPr>
              <w:contextualSpacing/>
              <w:jc w:val="center"/>
            </w:pPr>
            <w:r w:rsidRPr="00E873E8">
              <w:t>35</w:t>
            </w:r>
          </w:p>
        </w:tc>
        <w:tc>
          <w:tcPr>
            <w:tcW w:w="1439" w:type="dxa"/>
          </w:tcPr>
          <w:p w:rsidR="00E873E8" w:rsidRPr="00E873E8" w:rsidRDefault="00E873E8" w:rsidP="00E873E8">
            <w:pPr>
              <w:contextualSpacing/>
              <w:jc w:val="center"/>
            </w:pPr>
            <w:r w:rsidRPr="00E873E8">
              <w:t>336</w:t>
            </w:r>
          </w:p>
        </w:tc>
        <w:tc>
          <w:tcPr>
            <w:tcW w:w="1781" w:type="dxa"/>
          </w:tcPr>
          <w:p w:rsidR="00E873E8" w:rsidRPr="00E873E8" w:rsidRDefault="00E873E8" w:rsidP="00E873E8">
            <w:pPr>
              <w:contextualSpacing/>
              <w:jc w:val="center"/>
            </w:pPr>
            <w:r w:rsidRPr="00E873E8">
              <w:t>61 d</w:t>
            </w:r>
          </w:p>
        </w:tc>
      </w:tr>
      <w:tr w:rsidR="00E873E8" w:rsidRPr="00E873E8" w:rsidTr="00E873E8">
        <w:tc>
          <w:tcPr>
            <w:tcW w:w="1188" w:type="dxa"/>
          </w:tcPr>
          <w:p w:rsidR="00E873E8" w:rsidRPr="00E873E8" w:rsidRDefault="00E873E8" w:rsidP="00E873E8">
            <w:pPr>
              <w:contextualSpacing/>
              <w:jc w:val="center"/>
            </w:pPr>
            <w:r w:rsidRPr="00E873E8">
              <w:t>52</w:t>
            </w:r>
          </w:p>
        </w:tc>
        <w:tc>
          <w:tcPr>
            <w:tcW w:w="900" w:type="dxa"/>
          </w:tcPr>
          <w:p w:rsidR="00E873E8" w:rsidRPr="00E873E8" w:rsidRDefault="00E873E8" w:rsidP="00E873E8">
            <w:pPr>
              <w:contextualSpacing/>
              <w:jc w:val="center"/>
            </w:pPr>
            <w:r w:rsidRPr="00E873E8">
              <w:t>2017</w:t>
            </w:r>
          </w:p>
        </w:tc>
        <w:tc>
          <w:tcPr>
            <w:tcW w:w="1440" w:type="dxa"/>
          </w:tcPr>
          <w:p w:rsidR="00E873E8" w:rsidRPr="00E873E8" w:rsidRDefault="00E873E8" w:rsidP="00E873E8">
            <w:pPr>
              <w:contextualSpacing/>
              <w:jc w:val="center"/>
            </w:pPr>
            <w:r w:rsidRPr="00E873E8">
              <w:t>36</w:t>
            </w:r>
          </w:p>
        </w:tc>
        <w:tc>
          <w:tcPr>
            <w:tcW w:w="1280" w:type="dxa"/>
          </w:tcPr>
          <w:p w:rsidR="00E873E8" w:rsidRPr="00E873E8" w:rsidRDefault="00E873E8" w:rsidP="00E873E8">
            <w:pPr>
              <w:contextualSpacing/>
              <w:jc w:val="center"/>
            </w:pPr>
            <w:r w:rsidRPr="00E873E8">
              <w:t>18</w:t>
            </w:r>
          </w:p>
        </w:tc>
        <w:tc>
          <w:tcPr>
            <w:tcW w:w="1260" w:type="dxa"/>
          </w:tcPr>
          <w:p w:rsidR="00E873E8" w:rsidRPr="00E873E8" w:rsidRDefault="00E873E8" w:rsidP="00E873E8">
            <w:pPr>
              <w:contextualSpacing/>
              <w:jc w:val="center"/>
            </w:pPr>
            <w:r w:rsidRPr="00E873E8">
              <w:t>54</w:t>
            </w:r>
          </w:p>
        </w:tc>
        <w:tc>
          <w:tcPr>
            <w:tcW w:w="1439" w:type="dxa"/>
          </w:tcPr>
          <w:p w:rsidR="00E873E8" w:rsidRPr="00E873E8" w:rsidRDefault="00E873E8" w:rsidP="00E873E8">
            <w:pPr>
              <w:contextualSpacing/>
              <w:jc w:val="center"/>
            </w:pPr>
            <w:r w:rsidRPr="00E873E8">
              <w:t>471</w:t>
            </w:r>
          </w:p>
        </w:tc>
        <w:tc>
          <w:tcPr>
            <w:tcW w:w="1781" w:type="dxa"/>
          </w:tcPr>
          <w:p w:rsidR="00E873E8" w:rsidRPr="00E873E8" w:rsidRDefault="00E873E8" w:rsidP="00E873E8">
            <w:pPr>
              <w:contextualSpacing/>
              <w:jc w:val="center"/>
            </w:pPr>
            <w:r w:rsidRPr="00E873E8">
              <w:t>81 d</w:t>
            </w:r>
          </w:p>
        </w:tc>
      </w:tr>
    </w:tbl>
    <w:p w:rsidR="00E873E8" w:rsidRPr="00E873E8" w:rsidRDefault="00E873E8" w:rsidP="00E873E8">
      <w:pPr>
        <w:contextualSpacing/>
      </w:pPr>
    </w:p>
    <w:p w:rsidR="00E873E8" w:rsidRPr="00E873E8" w:rsidRDefault="00E873E8" w:rsidP="00E873E8">
      <w:pPr>
        <w:contextualSpacing/>
        <w:rPr>
          <w:b/>
        </w:rPr>
      </w:pPr>
    </w:p>
    <w:p w:rsidR="00E873E8" w:rsidRPr="00E873E8" w:rsidRDefault="00E873E8" w:rsidP="00E873E8">
      <w:pPr>
        <w:contextualSpacing/>
        <w:rPr>
          <w:b/>
        </w:rPr>
      </w:pPr>
      <w:r w:rsidRPr="00E873E8">
        <w:rPr>
          <w:b/>
        </w:rPr>
        <w:t>Table 2.  Financial report, 18 March 2017 through 9 March 2018.</w:t>
      </w:r>
    </w:p>
    <w:p w:rsidR="00E873E8" w:rsidRPr="00E873E8" w:rsidRDefault="00E873E8" w:rsidP="00E873E8">
      <w:pPr>
        <w:contextualSpacing/>
      </w:pPr>
    </w:p>
    <w:tbl>
      <w:tblPr>
        <w:tblStyle w:val="TableGrid7"/>
        <w:tblW w:w="0" w:type="auto"/>
        <w:tblLook w:val="04A0" w:firstRow="1" w:lastRow="0" w:firstColumn="1" w:lastColumn="0" w:noHBand="0" w:noVBand="1"/>
      </w:tblPr>
      <w:tblGrid>
        <w:gridCol w:w="4230"/>
        <w:gridCol w:w="3348"/>
        <w:gridCol w:w="1710"/>
      </w:tblGrid>
      <w:tr w:rsidR="00E873E8" w:rsidRPr="00E873E8" w:rsidTr="00E873E8">
        <w:tc>
          <w:tcPr>
            <w:tcW w:w="4230" w:type="dxa"/>
          </w:tcPr>
          <w:p w:rsidR="00E873E8" w:rsidRPr="00E873E8" w:rsidRDefault="00E873E8" w:rsidP="00E873E8">
            <w:pPr>
              <w:contextualSpacing/>
              <w:rPr>
                <w:b/>
              </w:rPr>
            </w:pPr>
            <w:r w:rsidRPr="00E873E8">
              <w:rPr>
                <w:b/>
              </w:rPr>
              <w:t>Beginning Balance [3/18/2017]</w:t>
            </w:r>
          </w:p>
        </w:tc>
        <w:tc>
          <w:tcPr>
            <w:tcW w:w="3348" w:type="dxa"/>
          </w:tcPr>
          <w:p w:rsidR="00E873E8" w:rsidRPr="00E873E8" w:rsidRDefault="00E873E8" w:rsidP="00E873E8">
            <w:pPr>
              <w:contextualSpacing/>
              <w:jc w:val="right"/>
              <w:rPr>
                <w:b/>
              </w:rPr>
            </w:pPr>
          </w:p>
        </w:tc>
        <w:tc>
          <w:tcPr>
            <w:tcW w:w="1710" w:type="dxa"/>
          </w:tcPr>
          <w:p w:rsidR="00E873E8" w:rsidRPr="00E873E8" w:rsidRDefault="00E873E8" w:rsidP="00E873E8">
            <w:pPr>
              <w:contextualSpacing/>
              <w:jc w:val="right"/>
              <w:rPr>
                <w:b/>
              </w:rPr>
            </w:pPr>
            <w:r w:rsidRPr="00E873E8">
              <w:rPr>
                <w:b/>
              </w:rPr>
              <w:t>$25,500.58</w:t>
            </w:r>
          </w:p>
        </w:tc>
      </w:tr>
      <w:tr w:rsidR="00E873E8" w:rsidRPr="00E873E8" w:rsidTr="00E873E8">
        <w:tc>
          <w:tcPr>
            <w:tcW w:w="4230" w:type="dxa"/>
          </w:tcPr>
          <w:p w:rsidR="00E873E8" w:rsidRPr="00E873E8" w:rsidRDefault="00E873E8" w:rsidP="00E873E8">
            <w:pPr>
              <w:contextualSpacing/>
              <w:rPr>
                <w:b/>
              </w:rPr>
            </w:pPr>
            <w:r w:rsidRPr="00E873E8">
              <w:rPr>
                <w:b/>
              </w:rPr>
              <w:t>Deposits (+)</w:t>
            </w:r>
          </w:p>
        </w:tc>
        <w:tc>
          <w:tcPr>
            <w:tcW w:w="3348" w:type="dxa"/>
          </w:tcPr>
          <w:p w:rsidR="00E873E8" w:rsidRPr="00E873E8" w:rsidRDefault="00E873E8" w:rsidP="00E873E8">
            <w:pPr>
              <w:contextualSpacing/>
              <w:jc w:val="right"/>
              <w:rPr>
                <w:b/>
              </w:rPr>
            </w:pPr>
          </w:p>
        </w:tc>
        <w:tc>
          <w:tcPr>
            <w:tcW w:w="1710" w:type="dxa"/>
          </w:tcPr>
          <w:p w:rsidR="00E873E8" w:rsidRPr="00E873E8" w:rsidRDefault="00E873E8" w:rsidP="00E873E8">
            <w:pPr>
              <w:contextualSpacing/>
              <w:jc w:val="right"/>
              <w:rPr>
                <w:b/>
              </w:rPr>
            </w:pPr>
            <w:r w:rsidRPr="00E873E8">
              <w:rPr>
                <w:b/>
              </w:rPr>
              <w:t>41,582.36</w:t>
            </w:r>
          </w:p>
        </w:tc>
      </w:tr>
      <w:tr w:rsidR="00E873E8" w:rsidRPr="00E873E8" w:rsidTr="00E873E8">
        <w:tc>
          <w:tcPr>
            <w:tcW w:w="4230" w:type="dxa"/>
          </w:tcPr>
          <w:p w:rsidR="00E873E8" w:rsidRPr="00E873E8" w:rsidRDefault="00E873E8" w:rsidP="00E873E8">
            <w:pPr>
              <w:contextualSpacing/>
              <w:rPr>
                <w:b/>
              </w:rPr>
            </w:pPr>
            <w:r w:rsidRPr="00E873E8">
              <w:rPr>
                <w:b/>
              </w:rPr>
              <w:t>Disbursements (-)</w:t>
            </w:r>
          </w:p>
        </w:tc>
        <w:tc>
          <w:tcPr>
            <w:tcW w:w="3348" w:type="dxa"/>
          </w:tcPr>
          <w:p w:rsidR="00E873E8" w:rsidRPr="00E873E8" w:rsidRDefault="00E873E8" w:rsidP="00E873E8">
            <w:pPr>
              <w:contextualSpacing/>
              <w:jc w:val="right"/>
              <w:rPr>
                <w:b/>
              </w:rPr>
            </w:pPr>
          </w:p>
        </w:tc>
        <w:tc>
          <w:tcPr>
            <w:tcW w:w="1710" w:type="dxa"/>
          </w:tcPr>
          <w:p w:rsidR="00E873E8" w:rsidRPr="00E873E8" w:rsidRDefault="00E873E8" w:rsidP="00E873E8">
            <w:pPr>
              <w:contextualSpacing/>
              <w:jc w:val="right"/>
              <w:rPr>
                <w:b/>
              </w:rPr>
            </w:pPr>
            <w:r w:rsidRPr="00E873E8">
              <w:rPr>
                <w:b/>
              </w:rPr>
              <w:t>58,392.21</w:t>
            </w:r>
          </w:p>
        </w:tc>
      </w:tr>
      <w:tr w:rsidR="00E873E8" w:rsidRPr="00E873E8" w:rsidTr="00E873E8">
        <w:tc>
          <w:tcPr>
            <w:tcW w:w="4230" w:type="dxa"/>
          </w:tcPr>
          <w:p w:rsidR="00E873E8" w:rsidRPr="00E873E8" w:rsidRDefault="00E873E8" w:rsidP="00E873E8">
            <w:pPr>
              <w:contextualSpacing/>
              <w:rPr>
                <w:b/>
              </w:rPr>
            </w:pPr>
            <w:r w:rsidRPr="00E873E8">
              <w:rPr>
                <w:b/>
              </w:rPr>
              <w:t>Ending Balance [2/28/2014]</w:t>
            </w:r>
          </w:p>
        </w:tc>
        <w:tc>
          <w:tcPr>
            <w:tcW w:w="3348" w:type="dxa"/>
          </w:tcPr>
          <w:p w:rsidR="00E873E8" w:rsidRPr="00E873E8" w:rsidRDefault="00E873E8" w:rsidP="00E873E8">
            <w:pPr>
              <w:contextualSpacing/>
              <w:jc w:val="right"/>
              <w:rPr>
                <w:b/>
              </w:rPr>
            </w:pPr>
          </w:p>
        </w:tc>
        <w:tc>
          <w:tcPr>
            <w:tcW w:w="1710" w:type="dxa"/>
          </w:tcPr>
          <w:p w:rsidR="00E873E8" w:rsidRPr="00E873E8" w:rsidRDefault="00E873E8" w:rsidP="00E873E8">
            <w:pPr>
              <w:contextualSpacing/>
              <w:jc w:val="right"/>
              <w:rPr>
                <w:b/>
              </w:rPr>
            </w:pPr>
            <w:r w:rsidRPr="00E873E8">
              <w:rPr>
                <w:b/>
              </w:rPr>
              <w:t>$8,690.73</w:t>
            </w:r>
          </w:p>
        </w:tc>
      </w:tr>
      <w:tr w:rsidR="00E873E8" w:rsidRPr="00E873E8" w:rsidTr="00E873E8">
        <w:tc>
          <w:tcPr>
            <w:tcW w:w="4230" w:type="dxa"/>
          </w:tcPr>
          <w:p w:rsidR="00E873E8" w:rsidRPr="00E873E8" w:rsidRDefault="00E873E8" w:rsidP="00E873E8">
            <w:pPr>
              <w:contextualSpacing/>
              <w:rPr>
                <w:b/>
              </w:rPr>
            </w:pPr>
          </w:p>
        </w:tc>
        <w:tc>
          <w:tcPr>
            <w:tcW w:w="3348" w:type="dxa"/>
          </w:tcPr>
          <w:p w:rsidR="00E873E8" w:rsidRPr="00E873E8" w:rsidRDefault="00E873E8" w:rsidP="00E873E8">
            <w:pPr>
              <w:contextualSpacing/>
              <w:rPr>
                <w:b/>
              </w:rPr>
            </w:pPr>
          </w:p>
        </w:tc>
        <w:tc>
          <w:tcPr>
            <w:tcW w:w="1710" w:type="dxa"/>
          </w:tcPr>
          <w:p w:rsidR="00E873E8" w:rsidRPr="00E873E8" w:rsidRDefault="00E873E8" w:rsidP="00E873E8">
            <w:pPr>
              <w:contextualSpacing/>
              <w:rPr>
                <w:b/>
              </w:rPr>
            </w:pPr>
          </w:p>
        </w:tc>
      </w:tr>
      <w:tr w:rsidR="00E873E8" w:rsidRPr="00E873E8" w:rsidTr="00E873E8">
        <w:tc>
          <w:tcPr>
            <w:tcW w:w="4230" w:type="dxa"/>
          </w:tcPr>
          <w:p w:rsidR="00E873E8" w:rsidRPr="00E873E8" w:rsidRDefault="00E873E8" w:rsidP="00E873E8">
            <w:pPr>
              <w:contextualSpacing/>
              <w:rPr>
                <w:b/>
                <w:u w:val="single"/>
              </w:rPr>
            </w:pPr>
            <w:r w:rsidRPr="00E873E8">
              <w:rPr>
                <w:b/>
                <w:u w:val="single"/>
              </w:rPr>
              <w:t>Deposits</w:t>
            </w:r>
          </w:p>
        </w:tc>
        <w:tc>
          <w:tcPr>
            <w:tcW w:w="3348" w:type="dxa"/>
          </w:tcPr>
          <w:p w:rsidR="00E873E8" w:rsidRPr="00E873E8" w:rsidRDefault="00E873E8" w:rsidP="00E873E8">
            <w:pPr>
              <w:contextualSpacing/>
              <w:rPr>
                <w:b/>
              </w:rPr>
            </w:pPr>
          </w:p>
        </w:tc>
        <w:tc>
          <w:tcPr>
            <w:tcW w:w="1710" w:type="dxa"/>
          </w:tcPr>
          <w:p w:rsidR="00E873E8" w:rsidRPr="00E873E8" w:rsidRDefault="00E873E8" w:rsidP="00E873E8">
            <w:pPr>
              <w:contextualSpacing/>
              <w:rPr>
                <w:b/>
              </w:rPr>
            </w:pPr>
          </w:p>
        </w:tc>
      </w:tr>
      <w:tr w:rsidR="00E873E8" w:rsidRPr="00E873E8" w:rsidTr="00E873E8">
        <w:tc>
          <w:tcPr>
            <w:tcW w:w="4230" w:type="dxa"/>
          </w:tcPr>
          <w:p w:rsidR="00E873E8" w:rsidRPr="00E873E8" w:rsidRDefault="00E873E8" w:rsidP="00E873E8">
            <w:pPr>
              <w:contextualSpacing/>
            </w:pPr>
            <w:r w:rsidRPr="00E873E8">
              <w:t>Library Subscriptions</w:t>
            </w:r>
          </w:p>
        </w:tc>
        <w:tc>
          <w:tcPr>
            <w:tcW w:w="3348" w:type="dxa"/>
          </w:tcPr>
          <w:p w:rsidR="00E873E8" w:rsidRPr="00E873E8" w:rsidRDefault="00E873E8" w:rsidP="00E873E8">
            <w:pPr>
              <w:contextualSpacing/>
              <w:jc w:val="right"/>
            </w:pPr>
            <w:r w:rsidRPr="00E873E8">
              <w:t>$2,475.00</w:t>
            </w:r>
          </w:p>
        </w:tc>
        <w:tc>
          <w:tcPr>
            <w:tcW w:w="1710" w:type="dxa"/>
          </w:tcPr>
          <w:p w:rsidR="00E873E8" w:rsidRPr="00E873E8" w:rsidRDefault="00E873E8" w:rsidP="00E873E8">
            <w:pPr>
              <w:contextualSpacing/>
              <w:jc w:val="right"/>
            </w:pPr>
          </w:p>
        </w:tc>
      </w:tr>
      <w:tr w:rsidR="00E873E8" w:rsidRPr="00E873E8" w:rsidTr="00E873E8">
        <w:tc>
          <w:tcPr>
            <w:tcW w:w="4230" w:type="dxa"/>
          </w:tcPr>
          <w:p w:rsidR="00E873E8" w:rsidRPr="00E873E8" w:rsidRDefault="00E873E8" w:rsidP="00E873E8">
            <w:pPr>
              <w:contextualSpacing/>
            </w:pPr>
            <w:r w:rsidRPr="00E873E8">
              <w:t>Publication and Reprint Charges</w:t>
            </w:r>
          </w:p>
        </w:tc>
        <w:tc>
          <w:tcPr>
            <w:tcW w:w="3348" w:type="dxa"/>
          </w:tcPr>
          <w:p w:rsidR="00E873E8" w:rsidRPr="00E873E8" w:rsidRDefault="00E873E8" w:rsidP="00E873E8">
            <w:pPr>
              <w:contextualSpacing/>
              <w:jc w:val="right"/>
            </w:pPr>
            <w:r w:rsidRPr="00E873E8">
              <w:t>$25,344.00</w:t>
            </w:r>
          </w:p>
        </w:tc>
        <w:tc>
          <w:tcPr>
            <w:tcW w:w="1710" w:type="dxa"/>
          </w:tcPr>
          <w:p w:rsidR="00E873E8" w:rsidRPr="00E873E8" w:rsidRDefault="00E873E8" w:rsidP="00E873E8">
            <w:pPr>
              <w:contextualSpacing/>
              <w:jc w:val="right"/>
            </w:pPr>
          </w:p>
        </w:tc>
      </w:tr>
      <w:tr w:rsidR="00E873E8" w:rsidRPr="00E873E8" w:rsidTr="00E873E8">
        <w:tc>
          <w:tcPr>
            <w:tcW w:w="4230" w:type="dxa"/>
          </w:tcPr>
          <w:p w:rsidR="00E873E8" w:rsidRPr="00E873E8" w:rsidRDefault="00E873E8" w:rsidP="00E873E8">
            <w:pPr>
              <w:contextualSpacing/>
            </w:pPr>
            <w:r w:rsidRPr="00E873E8">
              <w:t>Royalties</w:t>
            </w:r>
          </w:p>
        </w:tc>
        <w:tc>
          <w:tcPr>
            <w:tcW w:w="3348" w:type="dxa"/>
          </w:tcPr>
          <w:p w:rsidR="00E873E8" w:rsidRPr="00E873E8" w:rsidRDefault="00E873E8" w:rsidP="00E873E8">
            <w:pPr>
              <w:contextualSpacing/>
              <w:jc w:val="right"/>
            </w:pPr>
            <w:r w:rsidRPr="00E873E8">
              <w:t>$13,763.36</w:t>
            </w:r>
          </w:p>
        </w:tc>
        <w:tc>
          <w:tcPr>
            <w:tcW w:w="1710" w:type="dxa"/>
          </w:tcPr>
          <w:p w:rsidR="00E873E8" w:rsidRPr="00E873E8" w:rsidRDefault="00E873E8" w:rsidP="00E873E8">
            <w:pPr>
              <w:contextualSpacing/>
              <w:jc w:val="right"/>
            </w:pPr>
          </w:p>
        </w:tc>
      </w:tr>
      <w:tr w:rsidR="00E873E8" w:rsidRPr="00E873E8" w:rsidTr="00E873E8">
        <w:tc>
          <w:tcPr>
            <w:tcW w:w="4230" w:type="dxa"/>
          </w:tcPr>
          <w:p w:rsidR="00E873E8" w:rsidRPr="00E873E8" w:rsidRDefault="00E873E8" w:rsidP="00E873E8">
            <w:pPr>
              <w:contextualSpacing/>
              <w:rPr>
                <w:b/>
              </w:rPr>
            </w:pPr>
            <w:r w:rsidRPr="00E873E8">
              <w:rPr>
                <w:b/>
              </w:rPr>
              <w:t>Total Deposits</w:t>
            </w:r>
          </w:p>
        </w:tc>
        <w:tc>
          <w:tcPr>
            <w:tcW w:w="3348" w:type="dxa"/>
          </w:tcPr>
          <w:p w:rsidR="00E873E8" w:rsidRPr="00E873E8" w:rsidRDefault="00E873E8" w:rsidP="00E873E8">
            <w:pPr>
              <w:contextualSpacing/>
              <w:jc w:val="right"/>
              <w:rPr>
                <w:b/>
              </w:rPr>
            </w:pPr>
          </w:p>
        </w:tc>
        <w:tc>
          <w:tcPr>
            <w:tcW w:w="1710" w:type="dxa"/>
          </w:tcPr>
          <w:p w:rsidR="00E873E8" w:rsidRPr="00E873E8" w:rsidRDefault="00E873E8" w:rsidP="00E873E8">
            <w:pPr>
              <w:contextualSpacing/>
              <w:jc w:val="right"/>
              <w:rPr>
                <w:b/>
              </w:rPr>
            </w:pPr>
            <w:r w:rsidRPr="00E873E8">
              <w:rPr>
                <w:b/>
              </w:rPr>
              <w:t>$41,582.36</w:t>
            </w:r>
          </w:p>
        </w:tc>
      </w:tr>
      <w:tr w:rsidR="00E873E8" w:rsidRPr="00E873E8" w:rsidTr="00E873E8">
        <w:tc>
          <w:tcPr>
            <w:tcW w:w="4230" w:type="dxa"/>
          </w:tcPr>
          <w:p w:rsidR="00E873E8" w:rsidRPr="00E873E8" w:rsidRDefault="00E873E8" w:rsidP="00E873E8">
            <w:pPr>
              <w:contextualSpacing/>
              <w:rPr>
                <w:b/>
              </w:rPr>
            </w:pPr>
          </w:p>
        </w:tc>
        <w:tc>
          <w:tcPr>
            <w:tcW w:w="3348" w:type="dxa"/>
          </w:tcPr>
          <w:p w:rsidR="00E873E8" w:rsidRPr="00E873E8" w:rsidRDefault="00E873E8" w:rsidP="00E873E8">
            <w:pPr>
              <w:contextualSpacing/>
              <w:jc w:val="right"/>
              <w:rPr>
                <w:b/>
              </w:rPr>
            </w:pPr>
          </w:p>
        </w:tc>
        <w:tc>
          <w:tcPr>
            <w:tcW w:w="1710" w:type="dxa"/>
          </w:tcPr>
          <w:p w:rsidR="00E873E8" w:rsidRPr="00E873E8" w:rsidRDefault="00E873E8" w:rsidP="00E873E8">
            <w:pPr>
              <w:contextualSpacing/>
              <w:jc w:val="right"/>
              <w:rPr>
                <w:b/>
              </w:rPr>
            </w:pPr>
          </w:p>
        </w:tc>
      </w:tr>
      <w:tr w:rsidR="00E873E8" w:rsidRPr="00E873E8" w:rsidTr="00E873E8">
        <w:tc>
          <w:tcPr>
            <w:tcW w:w="4230" w:type="dxa"/>
          </w:tcPr>
          <w:p w:rsidR="00E873E8" w:rsidRPr="00E873E8" w:rsidRDefault="00E873E8" w:rsidP="00E873E8">
            <w:pPr>
              <w:contextualSpacing/>
              <w:rPr>
                <w:b/>
                <w:u w:val="single"/>
              </w:rPr>
            </w:pPr>
            <w:r w:rsidRPr="00E873E8">
              <w:rPr>
                <w:b/>
                <w:u w:val="single"/>
              </w:rPr>
              <w:t>Disbursements</w:t>
            </w:r>
          </w:p>
        </w:tc>
        <w:tc>
          <w:tcPr>
            <w:tcW w:w="3348" w:type="dxa"/>
          </w:tcPr>
          <w:p w:rsidR="00E873E8" w:rsidRPr="00E873E8" w:rsidRDefault="00E873E8" w:rsidP="00E873E8">
            <w:pPr>
              <w:contextualSpacing/>
              <w:jc w:val="right"/>
              <w:rPr>
                <w:b/>
              </w:rPr>
            </w:pPr>
          </w:p>
        </w:tc>
        <w:tc>
          <w:tcPr>
            <w:tcW w:w="1710" w:type="dxa"/>
          </w:tcPr>
          <w:p w:rsidR="00E873E8" w:rsidRPr="00E873E8" w:rsidRDefault="00E873E8" w:rsidP="00E873E8">
            <w:pPr>
              <w:contextualSpacing/>
              <w:jc w:val="right"/>
              <w:rPr>
                <w:b/>
              </w:rPr>
            </w:pPr>
          </w:p>
        </w:tc>
      </w:tr>
      <w:tr w:rsidR="00E873E8" w:rsidRPr="00E873E8" w:rsidTr="00E873E8">
        <w:tc>
          <w:tcPr>
            <w:tcW w:w="4230" w:type="dxa"/>
          </w:tcPr>
          <w:p w:rsidR="00E873E8" w:rsidRPr="00E873E8" w:rsidRDefault="00E873E8" w:rsidP="00E873E8">
            <w:pPr>
              <w:contextualSpacing/>
              <w:rPr>
                <w:b/>
              </w:rPr>
            </w:pPr>
            <w:r w:rsidRPr="00E873E8">
              <w:rPr>
                <w:b/>
              </w:rPr>
              <w:t>Allen Press</w:t>
            </w:r>
          </w:p>
        </w:tc>
        <w:tc>
          <w:tcPr>
            <w:tcW w:w="3348" w:type="dxa"/>
          </w:tcPr>
          <w:p w:rsidR="00E873E8" w:rsidRPr="00E873E8" w:rsidRDefault="00E873E8" w:rsidP="00E873E8">
            <w:pPr>
              <w:contextualSpacing/>
              <w:jc w:val="right"/>
            </w:pPr>
          </w:p>
        </w:tc>
        <w:tc>
          <w:tcPr>
            <w:tcW w:w="1710" w:type="dxa"/>
          </w:tcPr>
          <w:p w:rsidR="00E873E8" w:rsidRPr="00E873E8" w:rsidRDefault="00E873E8" w:rsidP="00E873E8">
            <w:pPr>
              <w:contextualSpacing/>
              <w:jc w:val="right"/>
            </w:pPr>
            <w:r w:rsidRPr="00E873E8">
              <w:t>$56,852.14</w:t>
            </w:r>
          </w:p>
        </w:tc>
      </w:tr>
      <w:tr w:rsidR="00E873E8" w:rsidRPr="00E873E8" w:rsidTr="00E873E8">
        <w:tc>
          <w:tcPr>
            <w:tcW w:w="4230" w:type="dxa"/>
          </w:tcPr>
          <w:p w:rsidR="00E873E8" w:rsidRPr="00E873E8" w:rsidRDefault="00E873E8" w:rsidP="00E873E8">
            <w:pPr>
              <w:contextualSpacing/>
            </w:pPr>
          </w:p>
        </w:tc>
        <w:tc>
          <w:tcPr>
            <w:tcW w:w="3348" w:type="dxa"/>
          </w:tcPr>
          <w:p w:rsidR="00E873E8" w:rsidRPr="00E873E8" w:rsidRDefault="00E873E8" w:rsidP="00E873E8">
            <w:pPr>
              <w:contextualSpacing/>
              <w:jc w:val="right"/>
            </w:pPr>
          </w:p>
        </w:tc>
        <w:tc>
          <w:tcPr>
            <w:tcW w:w="1710" w:type="dxa"/>
          </w:tcPr>
          <w:p w:rsidR="00E873E8" w:rsidRPr="00E873E8" w:rsidRDefault="00E873E8" w:rsidP="00E873E8">
            <w:pPr>
              <w:contextualSpacing/>
              <w:jc w:val="right"/>
            </w:pPr>
          </w:p>
        </w:tc>
      </w:tr>
      <w:tr w:rsidR="00E873E8" w:rsidRPr="00E873E8" w:rsidTr="00E873E8">
        <w:tc>
          <w:tcPr>
            <w:tcW w:w="4230" w:type="dxa"/>
          </w:tcPr>
          <w:p w:rsidR="00E873E8" w:rsidRPr="00E873E8" w:rsidRDefault="00E873E8" w:rsidP="00E873E8">
            <w:pPr>
              <w:contextualSpacing/>
              <w:rPr>
                <w:b/>
              </w:rPr>
            </w:pPr>
            <w:r w:rsidRPr="00E873E8">
              <w:rPr>
                <w:b/>
              </w:rPr>
              <w:t>Banking Fees</w:t>
            </w:r>
          </w:p>
        </w:tc>
        <w:tc>
          <w:tcPr>
            <w:tcW w:w="3348" w:type="dxa"/>
          </w:tcPr>
          <w:p w:rsidR="00E873E8" w:rsidRPr="00E873E8" w:rsidRDefault="00E873E8" w:rsidP="00E873E8">
            <w:pPr>
              <w:contextualSpacing/>
              <w:jc w:val="right"/>
            </w:pPr>
          </w:p>
        </w:tc>
        <w:tc>
          <w:tcPr>
            <w:tcW w:w="1710" w:type="dxa"/>
          </w:tcPr>
          <w:p w:rsidR="00E873E8" w:rsidRPr="00E873E8" w:rsidRDefault="00E873E8" w:rsidP="00E873E8">
            <w:pPr>
              <w:contextualSpacing/>
              <w:jc w:val="right"/>
            </w:pPr>
            <w:r w:rsidRPr="00E873E8">
              <w:t>$1,395.64</w:t>
            </w:r>
          </w:p>
        </w:tc>
      </w:tr>
      <w:tr w:rsidR="00E873E8" w:rsidRPr="00E873E8" w:rsidTr="00E873E8">
        <w:tc>
          <w:tcPr>
            <w:tcW w:w="4230" w:type="dxa"/>
          </w:tcPr>
          <w:p w:rsidR="00E873E8" w:rsidRPr="00E873E8" w:rsidRDefault="00E873E8" w:rsidP="00E873E8">
            <w:pPr>
              <w:contextualSpacing/>
            </w:pPr>
            <w:r w:rsidRPr="00E873E8">
              <w:t>VISA/MC/Discover Fees (Regions Bank)</w:t>
            </w:r>
          </w:p>
        </w:tc>
        <w:tc>
          <w:tcPr>
            <w:tcW w:w="3348" w:type="dxa"/>
          </w:tcPr>
          <w:p w:rsidR="00E873E8" w:rsidRPr="00E873E8" w:rsidRDefault="00E873E8" w:rsidP="00E873E8">
            <w:pPr>
              <w:contextualSpacing/>
              <w:jc w:val="right"/>
            </w:pPr>
            <w:r w:rsidRPr="00E873E8">
              <w:t>$1,359.64</w:t>
            </w:r>
          </w:p>
        </w:tc>
        <w:tc>
          <w:tcPr>
            <w:tcW w:w="1710" w:type="dxa"/>
          </w:tcPr>
          <w:p w:rsidR="00E873E8" w:rsidRPr="00E873E8" w:rsidRDefault="00E873E8" w:rsidP="00E873E8">
            <w:pPr>
              <w:contextualSpacing/>
              <w:jc w:val="right"/>
            </w:pPr>
          </w:p>
        </w:tc>
      </w:tr>
      <w:tr w:rsidR="00E873E8" w:rsidRPr="00E873E8" w:rsidTr="00E873E8">
        <w:tc>
          <w:tcPr>
            <w:tcW w:w="4230" w:type="dxa"/>
          </w:tcPr>
          <w:p w:rsidR="00E873E8" w:rsidRPr="00E873E8" w:rsidRDefault="00E873E8" w:rsidP="00E873E8">
            <w:pPr>
              <w:contextualSpacing/>
            </w:pPr>
            <w:r w:rsidRPr="00E873E8">
              <w:t>Checking Account Fees (Regions Bank)</w:t>
            </w:r>
          </w:p>
        </w:tc>
        <w:tc>
          <w:tcPr>
            <w:tcW w:w="3348" w:type="dxa"/>
          </w:tcPr>
          <w:p w:rsidR="00E873E8" w:rsidRPr="00E873E8" w:rsidRDefault="00E873E8" w:rsidP="00E873E8">
            <w:pPr>
              <w:contextualSpacing/>
              <w:jc w:val="right"/>
            </w:pPr>
            <w:r w:rsidRPr="00E873E8">
              <w:t>$36.00</w:t>
            </w:r>
          </w:p>
        </w:tc>
        <w:tc>
          <w:tcPr>
            <w:tcW w:w="1710" w:type="dxa"/>
          </w:tcPr>
          <w:p w:rsidR="00E873E8" w:rsidRPr="00E873E8" w:rsidRDefault="00E873E8" w:rsidP="00E873E8">
            <w:pPr>
              <w:contextualSpacing/>
              <w:jc w:val="right"/>
            </w:pPr>
          </w:p>
        </w:tc>
      </w:tr>
      <w:tr w:rsidR="00E873E8" w:rsidRPr="00E873E8" w:rsidTr="00E873E8">
        <w:tc>
          <w:tcPr>
            <w:tcW w:w="4230" w:type="dxa"/>
          </w:tcPr>
          <w:p w:rsidR="00E873E8" w:rsidRPr="00E873E8" w:rsidRDefault="00E873E8" w:rsidP="00E873E8">
            <w:pPr>
              <w:contextualSpacing/>
            </w:pPr>
          </w:p>
        </w:tc>
        <w:tc>
          <w:tcPr>
            <w:tcW w:w="3348" w:type="dxa"/>
          </w:tcPr>
          <w:p w:rsidR="00E873E8" w:rsidRPr="00E873E8" w:rsidRDefault="00E873E8" w:rsidP="00E873E8">
            <w:pPr>
              <w:contextualSpacing/>
              <w:jc w:val="right"/>
            </w:pPr>
          </w:p>
        </w:tc>
        <w:tc>
          <w:tcPr>
            <w:tcW w:w="1710" w:type="dxa"/>
          </w:tcPr>
          <w:p w:rsidR="00E873E8" w:rsidRPr="00E873E8" w:rsidRDefault="00E873E8" w:rsidP="00E873E8">
            <w:pPr>
              <w:contextualSpacing/>
              <w:jc w:val="right"/>
            </w:pPr>
          </w:p>
        </w:tc>
      </w:tr>
      <w:tr w:rsidR="00E873E8" w:rsidRPr="00E873E8" w:rsidTr="00E873E8">
        <w:tc>
          <w:tcPr>
            <w:tcW w:w="4230" w:type="dxa"/>
          </w:tcPr>
          <w:p w:rsidR="00E873E8" w:rsidRPr="00E873E8" w:rsidRDefault="00E873E8" w:rsidP="00E873E8">
            <w:pPr>
              <w:contextualSpacing/>
              <w:rPr>
                <w:b/>
              </w:rPr>
            </w:pPr>
            <w:r w:rsidRPr="00E873E8">
              <w:rPr>
                <w:b/>
              </w:rPr>
              <w:t>Miscellaneous Office Supplies</w:t>
            </w:r>
          </w:p>
        </w:tc>
        <w:tc>
          <w:tcPr>
            <w:tcW w:w="3348" w:type="dxa"/>
          </w:tcPr>
          <w:p w:rsidR="00E873E8" w:rsidRPr="00E873E8" w:rsidRDefault="00E873E8" w:rsidP="00E873E8">
            <w:pPr>
              <w:contextualSpacing/>
              <w:jc w:val="right"/>
            </w:pPr>
          </w:p>
        </w:tc>
        <w:tc>
          <w:tcPr>
            <w:tcW w:w="1710" w:type="dxa"/>
          </w:tcPr>
          <w:p w:rsidR="00E873E8" w:rsidRPr="00E873E8" w:rsidRDefault="00E873E8" w:rsidP="00E873E8">
            <w:pPr>
              <w:contextualSpacing/>
              <w:jc w:val="right"/>
            </w:pPr>
            <w:r w:rsidRPr="00E873E8">
              <w:t>$144.43</w:t>
            </w:r>
          </w:p>
        </w:tc>
      </w:tr>
      <w:tr w:rsidR="00E873E8" w:rsidRPr="00E873E8" w:rsidTr="00E873E8">
        <w:tc>
          <w:tcPr>
            <w:tcW w:w="4230" w:type="dxa"/>
          </w:tcPr>
          <w:p w:rsidR="00E873E8" w:rsidRPr="00E873E8" w:rsidRDefault="00E873E8" w:rsidP="00E873E8">
            <w:pPr>
              <w:contextualSpacing/>
            </w:pPr>
            <w:r w:rsidRPr="00E873E8">
              <w:t>Office Depot (printer supplies)</w:t>
            </w:r>
          </w:p>
        </w:tc>
        <w:tc>
          <w:tcPr>
            <w:tcW w:w="3348" w:type="dxa"/>
          </w:tcPr>
          <w:p w:rsidR="00E873E8" w:rsidRPr="00E873E8" w:rsidRDefault="00E873E8" w:rsidP="00E873E8">
            <w:pPr>
              <w:contextualSpacing/>
              <w:jc w:val="right"/>
            </w:pPr>
            <w:r w:rsidRPr="00E873E8">
              <w:t>$144.43</w:t>
            </w:r>
          </w:p>
        </w:tc>
        <w:tc>
          <w:tcPr>
            <w:tcW w:w="1710" w:type="dxa"/>
          </w:tcPr>
          <w:p w:rsidR="00E873E8" w:rsidRPr="00E873E8" w:rsidRDefault="00E873E8" w:rsidP="00E873E8">
            <w:pPr>
              <w:contextualSpacing/>
              <w:jc w:val="right"/>
            </w:pPr>
          </w:p>
        </w:tc>
      </w:tr>
      <w:tr w:rsidR="00E873E8" w:rsidRPr="00E873E8" w:rsidTr="00E873E8">
        <w:tc>
          <w:tcPr>
            <w:tcW w:w="4230" w:type="dxa"/>
          </w:tcPr>
          <w:p w:rsidR="00E873E8" w:rsidRPr="00E873E8" w:rsidRDefault="00E873E8" w:rsidP="00E873E8">
            <w:pPr>
              <w:contextualSpacing/>
            </w:pPr>
          </w:p>
        </w:tc>
        <w:tc>
          <w:tcPr>
            <w:tcW w:w="3348" w:type="dxa"/>
          </w:tcPr>
          <w:p w:rsidR="00E873E8" w:rsidRPr="00E873E8" w:rsidRDefault="00E873E8" w:rsidP="00E873E8">
            <w:pPr>
              <w:contextualSpacing/>
              <w:jc w:val="right"/>
            </w:pPr>
          </w:p>
        </w:tc>
        <w:tc>
          <w:tcPr>
            <w:tcW w:w="1710" w:type="dxa"/>
          </w:tcPr>
          <w:p w:rsidR="00E873E8" w:rsidRPr="00E873E8" w:rsidRDefault="00E873E8" w:rsidP="00E873E8">
            <w:pPr>
              <w:contextualSpacing/>
              <w:jc w:val="right"/>
            </w:pPr>
          </w:p>
        </w:tc>
      </w:tr>
      <w:tr w:rsidR="00E873E8" w:rsidRPr="00E873E8" w:rsidTr="00E873E8">
        <w:tc>
          <w:tcPr>
            <w:tcW w:w="4230" w:type="dxa"/>
          </w:tcPr>
          <w:p w:rsidR="00E873E8" w:rsidRPr="00E873E8" w:rsidRDefault="00E873E8" w:rsidP="00E873E8">
            <w:pPr>
              <w:contextualSpacing/>
              <w:rPr>
                <w:b/>
              </w:rPr>
            </w:pPr>
            <w:r w:rsidRPr="00E873E8">
              <w:rPr>
                <w:b/>
              </w:rPr>
              <w:t>Total Disbursements</w:t>
            </w:r>
          </w:p>
        </w:tc>
        <w:tc>
          <w:tcPr>
            <w:tcW w:w="3348" w:type="dxa"/>
          </w:tcPr>
          <w:p w:rsidR="00E873E8" w:rsidRPr="00E873E8" w:rsidRDefault="00E873E8" w:rsidP="00E873E8">
            <w:pPr>
              <w:contextualSpacing/>
              <w:jc w:val="right"/>
              <w:rPr>
                <w:b/>
              </w:rPr>
            </w:pPr>
          </w:p>
        </w:tc>
        <w:tc>
          <w:tcPr>
            <w:tcW w:w="1710" w:type="dxa"/>
          </w:tcPr>
          <w:p w:rsidR="00E873E8" w:rsidRPr="00E873E8" w:rsidRDefault="00E873E8" w:rsidP="00E873E8">
            <w:pPr>
              <w:contextualSpacing/>
              <w:jc w:val="right"/>
              <w:rPr>
                <w:b/>
              </w:rPr>
            </w:pPr>
            <w:r w:rsidRPr="00E873E8">
              <w:rPr>
                <w:b/>
              </w:rPr>
              <w:t>$58,392.21</w:t>
            </w:r>
          </w:p>
        </w:tc>
      </w:tr>
    </w:tbl>
    <w:p w:rsidR="00E873E8" w:rsidRPr="00E873E8" w:rsidRDefault="00E873E8" w:rsidP="00E873E8">
      <w:pPr>
        <w:contextualSpacing/>
      </w:pPr>
    </w:p>
    <w:p w:rsidR="00E873E8" w:rsidRPr="00E873E8" w:rsidRDefault="00E873E8" w:rsidP="00E873E8">
      <w:pPr>
        <w:contextualSpacing/>
        <w:rPr>
          <w:b/>
        </w:rPr>
      </w:pPr>
      <w:r w:rsidRPr="00E873E8">
        <w:rPr>
          <w:b/>
        </w:rPr>
        <w:lastRenderedPageBreak/>
        <w:t>Table 3.  Comparative report for manuscript submissions, acceptance rates, ending account balances, and net income by year for 2005 through 2017.</w:t>
      </w:r>
    </w:p>
    <w:p w:rsidR="00E873E8" w:rsidRPr="00E873E8" w:rsidRDefault="00E873E8" w:rsidP="00E873E8">
      <w:pPr>
        <w:contextualSpacing/>
      </w:pPr>
    </w:p>
    <w:tbl>
      <w:tblPr>
        <w:tblStyle w:val="TableGrid7"/>
        <w:tblW w:w="0" w:type="auto"/>
        <w:tblLayout w:type="fixed"/>
        <w:tblLook w:val="04A0" w:firstRow="1" w:lastRow="0" w:firstColumn="1" w:lastColumn="0" w:noHBand="0" w:noVBand="1"/>
      </w:tblPr>
      <w:tblGrid>
        <w:gridCol w:w="1458"/>
        <w:gridCol w:w="1890"/>
        <w:gridCol w:w="2160"/>
        <w:gridCol w:w="1890"/>
        <w:gridCol w:w="1890"/>
      </w:tblGrid>
      <w:tr w:rsidR="00E873E8" w:rsidRPr="00E873E8" w:rsidTr="00E873E8">
        <w:tc>
          <w:tcPr>
            <w:tcW w:w="1458" w:type="dxa"/>
          </w:tcPr>
          <w:p w:rsidR="00E873E8" w:rsidRPr="00E873E8" w:rsidRDefault="00E873E8" w:rsidP="00E873E8">
            <w:pPr>
              <w:contextualSpacing/>
              <w:jc w:val="center"/>
              <w:rPr>
                <w:b/>
              </w:rPr>
            </w:pPr>
            <w:r w:rsidRPr="00E873E8">
              <w:rPr>
                <w:b/>
              </w:rPr>
              <w:t>Year</w:t>
            </w:r>
          </w:p>
        </w:tc>
        <w:tc>
          <w:tcPr>
            <w:tcW w:w="1890" w:type="dxa"/>
          </w:tcPr>
          <w:p w:rsidR="00E873E8" w:rsidRPr="00E873E8" w:rsidRDefault="00E873E8" w:rsidP="00E873E8">
            <w:pPr>
              <w:contextualSpacing/>
              <w:jc w:val="center"/>
              <w:rPr>
                <w:b/>
              </w:rPr>
            </w:pPr>
            <w:r w:rsidRPr="00E873E8">
              <w:rPr>
                <w:b/>
              </w:rPr>
              <w:t>Total  Submitted</w:t>
            </w:r>
          </w:p>
        </w:tc>
        <w:tc>
          <w:tcPr>
            <w:tcW w:w="2160" w:type="dxa"/>
          </w:tcPr>
          <w:p w:rsidR="00E873E8" w:rsidRPr="00E873E8" w:rsidRDefault="00E873E8" w:rsidP="00E873E8">
            <w:pPr>
              <w:contextualSpacing/>
              <w:jc w:val="center"/>
              <w:rPr>
                <w:b/>
              </w:rPr>
            </w:pPr>
            <w:r w:rsidRPr="00E873E8">
              <w:rPr>
                <w:b/>
              </w:rPr>
              <w:t>Accept Rate</w:t>
            </w:r>
          </w:p>
        </w:tc>
        <w:tc>
          <w:tcPr>
            <w:tcW w:w="1890" w:type="dxa"/>
          </w:tcPr>
          <w:p w:rsidR="00E873E8" w:rsidRPr="00E873E8" w:rsidRDefault="00E873E8" w:rsidP="00E873E8">
            <w:pPr>
              <w:contextualSpacing/>
              <w:jc w:val="right"/>
              <w:rPr>
                <w:b/>
              </w:rPr>
            </w:pPr>
            <w:r w:rsidRPr="00E873E8">
              <w:rPr>
                <w:b/>
              </w:rPr>
              <w:t>Ending Balance</w:t>
            </w:r>
          </w:p>
        </w:tc>
        <w:tc>
          <w:tcPr>
            <w:tcW w:w="1890" w:type="dxa"/>
          </w:tcPr>
          <w:p w:rsidR="00E873E8" w:rsidRPr="00E873E8" w:rsidRDefault="00E873E8" w:rsidP="00E873E8">
            <w:pPr>
              <w:contextualSpacing/>
              <w:jc w:val="center"/>
              <w:rPr>
                <w:b/>
              </w:rPr>
            </w:pPr>
            <w:r w:rsidRPr="00E873E8">
              <w:rPr>
                <w:b/>
              </w:rPr>
              <w:t>Net Income</w:t>
            </w:r>
          </w:p>
        </w:tc>
      </w:tr>
      <w:tr w:rsidR="00E873E8" w:rsidRPr="00E873E8" w:rsidTr="00E873E8">
        <w:tc>
          <w:tcPr>
            <w:tcW w:w="1458" w:type="dxa"/>
          </w:tcPr>
          <w:p w:rsidR="00E873E8" w:rsidRPr="00E873E8" w:rsidRDefault="00E873E8" w:rsidP="00E873E8">
            <w:pPr>
              <w:contextualSpacing/>
              <w:jc w:val="center"/>
            </w:pPr>
            <w:r w:rsidRPr="00E873E8">
              <w:t>2005</w:t>
            </w:r>
          </w:p>
        </w:tc>
        <w:tc>
          <w:tcPr>
            <w:tcW w:w="1890" w:type="dxa"/>
          </w:tcPr>
          <w:p w:rsidR="00E873E8" w:rsidRPr="00E873E8" w:rsidRDefault="00E873E8" w:rsidP="00E873E8">
            <w:pPr>
              <w:contextualSpacing/>
              <w:jc w:val="center"/>
            </w:pPr>
            <w:r w:rsidRPr="00E873E8">
              <w:t>68</w:t>
            </w:r>
          </w:p>
        </w:tc>
        <w:tc>
          <w:tcPr>
            <w:tcW w:w="2160" w:type="dxa"/>
          </w:tcPr>
          <w:p w:rsidR="00E873E8" w:rsidRPr="00E873E8" w:rsidRDefault="00E873E8" w:rsidP="00E873E8">
            <w:pPr>
              <w:contextualSpacing/>
              <w:jc w:val="center"/>
            </w:pPr>
            <w:r w:rsidRPr="00E873E8">
              <w:t>91%</w:t>
            </w:r>
          </w:p>
        </w:tc>
        <w:tc>
          <w:tcPr>
            <w:tcW w:w="1890" w:type="dxa"/>
          </w:tcPr>
          <w:p w:rsidR="00E873E8" w:rsidRPr="00E873E8" w:rsidRDefault="00E873E8" w:rsidP="00E873E8">
            <w:pPr>
              <w:contextualSpacing/>
              <w:jc w:val="right"/>
            </w:pPr>
            <w:r w:rsidRPr="00E873E8">
              <w:t>$38,985.10</w:t>
            </w:r>
          </w:p>
        </w:tc>
        <w:tc>
          <w:tcPr>
            <w:tcW w:w="1890" w:type="dxa"/>
          </w:tcPr>
          <w:p w:rsidR="00E873E8" w:rsidRPr="00E873E8" w:rsidRDefault="00E873E8" w:rsidP="00E873E8">
            <w:pPr>
              <w:contextualSpacing/>
              <w:jc w:val="right"/>
            </w:pPr>
            <w:r w:rsidRPr="00E873E8">
              <w:t>(-) $6,309.00</w:t>
            </w:r>
          </w:p>
        </w:tc>
      </w:tr>
      <w:tr w:rsidR="00E873E8" w:rsidRPr="00E873E8" w:rsidTr="00E873E8">
        <w:tc>
          <w:tcPr>
            <w:tcW w:w="1458" w:type="dxa"/>
          </w:tcPr>
          <w:p w:rsidR="00E873E8" w:rsidRPr="00E873E8" w:rsidRDefault="00E873E8" w:rsidP="00E873E8">
            <w:pPr>
              <w:contextualSpacing/>
              <w:jc w:val="center"/>
            </w:pPr>
            <w:r w:rsidRPr="00E873E8">
              <w:t>2006</w:t>
            </w:r>
          </w:p>
        </w:tc>
        <w:tc>
          <w:tcPr>
            <w:tcW w:w="1890" w:type="dxa"/>
          </w:tcPr>
          <w:p w:rsidR="00E873E8" w:rsidRPr="00E873E8" w:rsidRDefault="00E873E8" w:rsidP="00E873E8">
            <w:pPr>
              <w:contextualSpacing/>
              <w:jc w:val="center"/>
            </w:pPr>
            <w:r w:rsidRPr="00E873E8">
              <w:t>85</w:t>
            </w:r>
          </w:p>
        </w:tc>
        <w:tc>
          <w:tcPr>
            <w:tcW w:w="2160" w:type="dxa"/>
          </w:tcPr>
          <w:p w:rsidR="00E873E8" w:rsidRPr="00E873E8" w:rsidRDefault="00E873E8" w:rsidP="00E873E8">
            <w:pPr>
              <w:contextualSpacing/>
              <w:jc w:val="center"/>
            </w:pPr>
            <w:r w:rsidRPr="00E873E8">
              <w:t>90%</w:t>
            </w:r>
          </w:p>
        </w:tc>
        <w:tc>
          <w:tcPr>
            <w:tcW w:w="1890" w:type="dxa"/>
          </w:tcPr>
          <w:p w:rsidR="00E873E8" w:rsidRPr="00E873E8" w:rsidRDefault="00E873E8" w:rsidP="00E873E8">
            <w:pPr>
              <w:contextualSpacing/>
              <w:jc w:val="right"/>
            </w:pPr>
            <w:r w:rsidRPr="00E873E8">
              <w:t>$49,758.36</w:t>
            </w:r>
          </w:p>
        </w:tc>
        <w:tc>
          <w:tcPr>
            <w:tcW w:w="1890" w:type="dxa"/>
          </w:tcPr>
          <w:p w:rsidR="00E873E8" w:rsidRPr="00E873E8" w:rsidRDefault="00E873E8" w:rsidP="00E873E8">
            <w:pPr>
              <w:contextualSpacing/>
              <w:jc w:val="right"/>
            </w:pPr>
            <w:r w:rsidRPr="00E873E8">
              <w:t>$10,773.26</w:t>
            </w:r>
          </w:p>
        </w:tc>
      </w:tr>
      <w:tr w:rsidR="00E873E8" w:rsidRPr="00E873E8" w:rsidTr="00E873E8">
        <w:tc>
          <w:tcPr>
            <w:tcW w:w="1458" w:type="dxa"/>
          </w:tcPr>
          <w:p w:rsidR="00E873E8" w:rsidRPr="00E873E8" w:rsidRDefault="00E873E8" w:rsidP="00E873E8">
            <w:pPr>
              <w:contextualSpacing/>
              <w:jc w:val="center"/>
            </w:pPr>
            <w:r w:rsidRPr="00E873E8">
              <w:t>2007</w:t>
            </w:r>
          </w:p>
        </w:tc>
        <w:tc>
          <w:tcPr>
            <w:tcW w:w="1890" w:type="dxa"/>
          </w:tcPr>
          <w:p w:rsidR="00E873E8" w:rsidRPr="00E873E8" w:rsidRDefault="00E873E8" w:rsidP="00E873E8">
            <w:pPr>
              <w:contextualSpacing/>
              <w:jc w:val="center"/>
            </w:pPr>
            <w:r w:rsidRPr="00E873E8">
              <w:t>61</w:t>
            </w:r>
          </w:p>
        </w:tc>
        <w:tc>
          <w:tcPr>
            <w:tcW w:w="2160" w:type="dxa"/>
          </w:tcPr>
          <w:p w:rsidR="00E873E8" w:rsidRPr="00E873E8" w:rsidRDefault="00E873E8" w:rsidP="00E873E8">
            <w:pPr>
              <w:contextualSpacing/>
              <w:jc w:val="center"/>
            </w:pPr>
            <w:r w:rsidRPr="00E873E8">
              <w:t>85%</w:t>
            </w:r>
          </w:p>
        </w:tc>
        <w:tc>
          <w:tcPr>
            <w:tcW w:w="1890" w:type="dxa"/>
          </w:tcPr>
          <w:p w:rsidR="00E873E8" w:rsidRPr="00E873E8" w:rsidRDefault="00E873E8" w:rsidP="00E873E8">
            <w:pPr>
              <w:contextualSpacing/>
              <w:jc w:val="right"/>
            </w:pPr>
            <w:r w:rsidRPr="00E873E8">
              <w:t>$53,353.91</w:t>
            </w:r>
          </w:p>
        </w:tc>
        <w:tc>
          <w:tcPr>
            <w:tcW w:w="1890" w:type="dxa"/>
          </w:tcPr>
          <w:p w:rsidR="00E873E8" w:rsidRPr="00E873E8" w:rsidRDefault="00E873E8" w:rsidP="00E873E8">
            <w:pPr>
              <w:contextualSpacing/>
              <w:jc w:val="right"/>
            </w:pPr>
            <w:r w:rsidRPr="00E873E8">
              <w:t>$3,595.55</w:t>
            </w:r>
          </w:p>
        </w:tc>
      </w:tr>
      <w:tr w:rsidR="00E873E8" w:rsidRPr="00E873E8" w:rsidTr="00E873E8">
        <w:tc>
          <w:tcPr>
            <w:tcW w:w="1458" w:type="dxa"/>
          </w:tcPr>
          <w:p w:rsidR="00E873E8" w:rsidRPr="00E873E8" w:rsidRDefault="00E873E8" w:rsidP="00E873E8">
            <w:pPr>
              <w:contextualSpacing/>
              <w:jc w:val="center"/>
            </w:pPr>
            <w:r w:rsidRPr="00E873E8">
              <w:t>2008</w:t>
            </w:r>
          </w:p>
        </w:tc>
        <w:tc>
          <w:tcPr>
            <w:tcW w:w="1890" w:type="dxa"/>
          </w:tcPr>
          <w:p w:rsidR="00E873E8" w:rsidRPr="00E873E8" w:rsidRDefault="00E873E8" w:rsidP="00E873E8">
            <w:pPr>
              <w:contextualSpacing/>
              <w:jc w:val="center"/>
            </w:pPr>
            <w:r w:rsidRPr="00E873E8">
              <w:t>43</w:t>
            </w:r>
          </w:p>
        </w:tc>
        <w:tc>
          <w:tcPr>
            <w:tcW w:w="2160" w:type="dxa"/>
          </w:tcPr>
          <w:p w:rsidR="00E873E8" w:rsidRPr="00E873E8" w:rsidRDefault="00E873E8" w:rsidP="00E873E8">
            <w:pPr>
              <w:contextualSpacing/>
              <w:jc w:val="center"/>
            </w:pPr>
            <w:r w:rsidRPr="00E873E8">
              <w:t>93%</w:t>
            </w:r>
          </w:p>
        </w:tc>
        <w:tc>
          <w:tcPr>
            <w:tcW w:w="1890" w:type="dxa"/>
          </w:tcPr>
          <w:p w:rsidR="00E873E8" w:rsidRPr="00E873E8" w:rsidRDefault="00E873E8" w:rsidP="00E873E8">
            <w:pPr>
              <w:contextualSpacing/>
              <w:jc w:val="right"/>
            </w:pPr>
            <w:r w:rsidRPr="00E873E8">
              <w:t>$51,853.43</w:t>
            </w:r>
          </w:p>
        </w:tc>
        <w:tc>
          <w:tcPr>
            <w:tcW w:w="1890" w:type="dxa"/>
          </w:tcPr>
          <w:p w:rsidR="00E873E8" w:rsidRPr="00E873E8" w:rsidRDefault="00E873E8" w:rsidP="00E873E8">
            <w:pPr>
              <w:contextualSpacing/>
              <w:jc w:val="right"/>
            </w:pPr>
            <w:r w:rsidRPr="00E873E8">
              <w:t>$1,500.48</w:t>
            </w:r>
          </w:p>
        </w:tc>
      </w:tr>
      <w:tr w:rsidR="00E873E8" w:rsidRPr="00E873E8" w:rsidTr="00E873E8">
        <w:tc>
          <w:tcPr>
            <w:tcW w:w="1458" w:type="dxa"/>
          </w:tcPr>
          <w:p w:rsidR="00E873E8" w:rsidRPr="00E873E8" w:rsidRDefault="00E873E8" w:rsidP="00E873E8">
            <w:pPr>
              <w:contextualSpacing/>
              <w:jc w:val="center"/>
            </w:pPr>
            <w:r w:rsidRPr="00E873E8">
              <w:t>2009</w:t>
            </w:r>
          </w:p>
        </w:tc>
        <w:tc>
          <w:tcPr>
            <w:tcW w:w="1890" w:type="dxa"/>
          </w:tcPr>
          <w:p w:rsidR="00E873E8" w:rsidRPr="00E873E8" w:rsidRDefault="00E873E8" w:rsidP="00E873E8">
            <w:pPr>
              <w:contextualSpacing/>
              <w:jc w:val="center"/>
            </w:pPr>
            <w:r w:rsidRPr="00E873E8">
              <w:t>54</w:t>
            </w:r>
          </w:p>
        </w:tc>
        <w:tc>
          <w:tcPr>
            <w:tcW w:w="2160" w:type="dxa"/>
          </w:tcPr>
          <w:p w:rsidR="00E873E8" w:rsidRPr="00E873E8" w:rsidRDefault="00E873E8" w:rsidP="00E873E8">
            <w:pPr>
              <w:contextualSpacing/>
              <w:jc w:val="center"/>
            </w:pPr>
            <w:r w:rsidRPr="00E873E8">
              <w:t>85%</w:t>
            </w:r>
          </w:p>
        </w:tc>
        <w:tc>
          <w:tcPr>
            <w:tcW w:w="1890" w:type="dxa"/>
          </w:tcPr>
          <w:p w:rsidR="00E873E8" w:rsidRPr="00E873E8" w:rsidRDefault="00E873E8" w:rsidP="00E873E8">
            <w:pPr>
              <w:contextualSpacing/>
              <w:jc w:val="right"/>
            </w:pPr>
            <w:r w:rsidRPr="00E873E8">
              <w:t>$57,339.04</w:t>
            </w:r>
          </w:p>
        </w:tc>
        <w:tc>
          <w:tcPr>
            <w:tcW w:w="1890" w:type="dxa"/>
          </w:tcPr>
          <w:p w:rsidR="00E873E8" w:rsidRPr="00E873E8" w:rsidRDefault="00E873E8" w:rsidP="00E873E8">
            <w:pPr>
              <w:contextualSpacing/>
              <w:jc w:val="right"/>
            </w:pPr>
            <w:r w:rsidRPr="00E873E8">
              <w:t>$5,485.61</w:t>
            </w:r>
          </w:p>
        </w:tc>
      </w:tr>
      <w:tr w:rsidR="00E873E8" w:rsidRPr="00E873E8" w:rsidTr="00E873E8">
        <w:tc>
          <w:tcPr>
            <w:tcW w:w="1458" w:type="dxa"/>
          </w:tcPr>
          <w:p w:rsidR="00E873E8" w:rsidRPr="00E873E8" w:rsidRDefault="00E873E8" w:rsidP="00E873E8">
            <w:pPr>
              <w:contextualSpacing/>
              <w:jc w:val="center"/>
            </w:pPr>
            <w:r w:rsidRPr="00E873E8">
              <w:t>2010</w:t>
            </w:r>
          </w:p>
        </w:tc>
        <w:tc>
          <w:tcPr>
            <w:tcW w:w="1890" w:type="dxa"/>
          </w:tcPr>
          <w:p w:rsidR="00E873E8" w:rsidRPr="00E873E8" w:rsidRDefault="00E873E8" w:rsidP="00E873E8">
            <w:pPr>
              <w:contextualSpacing/>
              <w:jc w:val="center"/>
            </w:pPr>
            <w:r w:rsidRPr="00E873E8">
              <w:t>47</w:t>
            </w:r>
          </w:p>
        </w:tc>
        <w:tc>
          <w:tcPr>
            <w:tcW w:w="2160" w:type="dxa"/>
          </w:tcPr>
          <w:p w:rsidR="00E873E8" w:rsidRPr="00E873E8" w:rsidRDefault="00E873E8" w:rsidP="00E873E8">
            <w:pPr>
              <w:contextualSpacing/>
              <w:jc w:val="center"/>
            </w:pPr>
            <w:r w:rsidRPr="00E873E8">
              <w:t>87%</w:t>
            </w:r>
          </w:p>
        </w:tc>
        <w:tc>
          <w:tcPr>
            <w:tcW w:w="1890" w:type="dxa"/>
          </w:tcPr>
          <w:p w:rsidR="00E873E8" w:rsidRPr="00E873E8" w:rsidRDefault="00E873E8" w:rsidP="00E873E8">
            <w:pPr>
              <w:contextualSpacing/>
              <w:jc w:val="right"/>
            </w:pPr>
            <w:r w:rsidRPr="00E873E8">
              <w:t>$51,416.61</w:t>
            </w:r>
          </w:p>
        </w:tc>
        <w:tc>
          <w:tcPr>
            <w:tcW w:w="1890" w:type="dxa"/>
          </w:tcPr>
          <w:p w:rsidR="00E873E8" w:rsidRPr="00E873E8" w:rsidRDefault="00E873E8" w:rsidP="00E873E8">
            <w:pPr>
              <w:contextualSpacing/>
              <w:jc w:val="right"/>
            </w:pPr>
            <w:r w:rsidRPr="00E873E8">
              <w:t>(-) $5,922.43</w:t>
            </w:r>
          </w:p>
        </w:tc>
      </w:tr>
      <w:tr w:rsidR="00E873E8" w:rsidRPr="00E873E8" w:rsidTr="00E873E8">
        <w:tc>
          <w:tcPr>
            <w:tcW w:w="1458" w:type="dxa"/>
          </w:tcPr>
          <w:p w:rsidR="00E873E8" w:rsidRPr="00E873E8" w:rsidRDefault="00E873E8" w:rsidP="00E873E8">
            <w:pPr>
              <w:contextualSpacing/>
              <w:jc w:val="center"/>
            </w:pPr>
            <w:r w:rsidRPr="00E873E8">
              <w:t>2011</w:t>
            </w:r>
          </w:p>
        </w:tc>
        <w:tc>
          <w:tcPr>
            <w:tcW w:w="1890" w:type="dxa"/>
          </w:tcPr>
          <w:p w:rsidR="00E873E8" w:rsidRPr="00E873E8" w:rsidRDefault="00E873E8" w:rsidP="00E873E8">
            <w:pPr>
              <w:contextualSpacing/>
              <w:jc w:val="center"/>
            </w:pPr>
            <w:r w:rsidRPr="00E873E8">
              <w:t>53</w:t>
            </w:r>
          </w:p>
        </w:tc>
        <w:tc>
          <w:tcPr>
            <w:tcW w:w="2160" w:type="dxa"/>
          </w:tcPr>
          <w:p w:rsidR="00E873E8" w:rsidRPr="00E873E8" w:rsidRDefault="00E873E8" w:rsidP="00E873E8">
            <w:pPr>
              <w:contextualSpacing/>
              <w:jc w:val="center"/>
            </w:pPr>
            <w:r w:rsidRPr="00E873E8">
              <w:t>85%</w:t>
            </w:r>
          </w:p>
        </w:tc>
        <w:tc>
          <w:tcPr>
            <w:tcW w:w="1890" w:type="dxa"/>
          </w:tcPr>
          <w:p w:rsidR="00E873E8" w:rsidRPr="00E873E8" w:rsidRDefault="00E873E8" w:rsidP="00E873E8">
            <w:pPr>
              <w:contextualSpacing/>
              <w:jc w:val="right"/>
            </w:pPr>
            <w:r w:rsidRPr="00E873E8">
              <w:t>$49,629.66</w:t>
            </w:r>
          </w:p>
        </w:tc>
        <w:tc>
          <w:tcPr>
            <w:tcW w:w="1890" w:type="dxa"/>
          </w:tcPr>
          <w:p w:rsidR="00E873E8" w:rsidRPr="00E873E8" w:rsidRDefault="00E873E8" w:rsidP="00E873E8">
            <w:pPr>
              <w:contextualSpacing/>
              <w:jc w:val="right"/>
            </w:pPr>
            <w:r w:rsidRPr="00E873E8">
              <w:t>(-) $1,786.95</w:t>
            </w:r>
          </w:p>
        </w:tc>
      </w:tr>
      <w:tr w:rsidR="00E873E8" w:rsidRPr="00E873E8" w:rsidTr="00E873E8">
        <w:tc>
          <w:tcPr>
            <w:tcW w:w="1458" w:type="dxa"/>
          </w:tcPr>
          <w:p w:rsidR="00E873E8" w:rsidRPr="00E873E8" w:rsidRDefault="00E873E8" w:rsidP="00E873E8">
            <w:pPr>
              <w:contextualSpacing/>
              <w:jc w:val="center"/>
            </w:pPr>
            <w:r w:rsidRPr="00E873E8">
              <w:t>2012</w:t>
            </w:r>
          </w:p>
        </w:tc>
        <w:tc>
          <w:tcPr>
            <w:tcW w:w="1890" w:type="dxa"/>
          </w:tcPr>
          <w:p w:rsidR="00E873E8" w:rsidRPr="00E873E8" w:rsidRDefault="00E873E8" w:rsidP="00E873E8">
            <w:pPr>
              <w:contextualSpacing/>
              <w:jc w:val="center"/>
            </w:pPr>
            <w:r w:rsidRPr="00E873E8">
              <w:t>58</w:t>
            </w:r>
          </w:p>
        </w:tc>
        <w:tc>
          <w:tcPr>
            <w:tcW w:w="2160" w:type="dxa"/>
          </w:tcPr>
          <w:p w:rsidR="00E873E8" w:rsidRPr="00E873E8" w:rsidRDefault="00E873E8" w:rsidP="00E873E8">
            <w:pPr>
              <w:contextualSpacing/>
              <w:jc w:val="center"/>
            </w:pPr>
            <w:r w:rsidRPr="00E873E8">
              <w:t>80%</w:t>
            </w:r>
          </w:p>
        </w:tc>
        <w:tc>
          <w:tcPr>
            <w:tcW w:w="1890" w:type="dxa"/>
          </w:tcPr>
          <w:p w:rsidR="00E873E8" w:rsidRPr="00E873E8" w:rsidRDefault="00E873E8" w:rsidP="00E873E8">
            <w:pPr>
              <w:contextualSpacing/>
              <w:jc w:val="right"/>
            </w:pPr>
            <w:r w:rsidRPr="00E873E8">
              <w:t>$45,789.26</w:t>
            </w:r>
          </w:p>
        </w:tc>
        <w:tc>
          <w:tcPr>
            <w:tcW w:w="1890" w:type="dxa"/>
          </w:tcPr>
          <w:p w:rsidR="00E873E8" w:rsidRPr="00E873E8" w:rsidRDefault="00E873E8" w:rsidP="00E873E8">
            <w:pPr>
              <w:contextualSpacing/>
              <w:jc w:val="right"/>
            </w:pPr>
            <w:r w:rsidRPr="00E873E8">
              <w:t>(-) $3,840.40</w:t>
            </w:r>
          </w:p>
        </w:tc>
      </w:tr>
      <w:tr w:rsidR="00E873E8" w:rsidRPr="00E873E8" w:rsidTr="00E873E8">
        <w:tc>
          <w:tcPr>
            <w:tcW w:w="1458" w:type="dxa"/>
          </w:tcPr>
          <w:p w:rsidR="00E873E8" w:rsidRPr="00E873E8" w:rsidRDefault="00E873E8" w:rsidP="00E873E8">
            <w:pPr>
              <w:contextualSpacing/>
              <w:jc w:val="center"/>
            </w:pPr>
            <w:r w:rsidRPr="00E873E8">
              <w:t>2013</w:t>
            </w:r>
          </w:p>
        </w:tc>
        <w:tc>
          <w:tcPr>
            <w:tcW w:w="1890" w:type="dxa"/>
          </w:tcPr>
          <w:p w:rsidR="00E873E8" w:rsidRPr="00E873E8" w:rsidRDefault="00E873E8" w:rsidP="00E873E8">
            <w:pPr>
              <w:contextualSpacing/>
              <w:jc w:val="center"/>
            </w:pPr>
            <w:r w:rsidRPr="00E873E8">
              <w:t>45</w:t>
            </w:r>
          </w:p>
        </w:tc>
        <w:tc>
          <w:tcPr>
            <w:tcW w:w="2160" w:type="dxa"/>
          </w:tcPr>
          <w:p w:rsidR="00E873E8" w:rsidRPr="00E873E8" w:rsidRDefault="00E873E8" w:rsidP="00E873E8">
            <w:pPr>
              <w:contextualSpacing/>
              <w:jc w:val="center"/>
            </w:pPr>
            <w:r w:rsidRPr="00E873E8">
              <w:t>85%</w:t>
            </w:r>
          </w:p>
        </w:tc>
        <w:tc>
          <w:tcPr>
            <w:tcW w:w="1890" w:type="dxa"/>
          </w:tcPr>
          <w:p w:rsidR="00E873E8" w:rsidRPr="00E873E8" w:rsidRDefault="00E873E8" w:rsidP="00E873E8">
            <w:pPr>
              <w:contextualSpacing/>
              <w:jc w:val="right"/>
            </w:pPr>
            <w:r w:rsidRPr="00E873E8">
              <w:t>$40,461.84</w:t>
            </w:r>
          </w:p>
        </w:tc>
        <w:tc>
          <w:tcPr>
            <w:tcW w:w="1890" w:type="dxa"/>
          </w:tcPr>
          <w:p w:rsidR="00E873E8" w:rsidRPr="00E873E8" w:rsidRDefault="00E873E8" w:rsidP="00E873E8">
            <w:pPr>
              <w:contextualSpacing/>
              <w:jc w:val="right"/>
            </w:pPr>
            <w:r w:rsidRPr="00E873E8">
              <w:t>(-) $5,327.42</w:t>
            </w:r>
          </w:p>
        </w:tc>
      </w:tr>
      <w:tr w:rsidR="00E873E8" w:rsidRPr="00E873E8" w:rsidTr="00E873E8">
        <w:tc>
          <w:tcPr>
            <w:tcW w:w="1458" w:type="dxa"/>
          </w:tcPr>
          <w:p w:rsidR="00E873E8" w:rsidRPr="00E873E8" w:rsidRDefault="00E873E8" w:rsidP="00E873E8">
            <w:pPr>
              <w:contextualSpacing/>
              <w:jc w:val="center"/>
            </w:pPr>
            <w:r w:rsidRPr="00E873E8">
              <w:t>2014</w:t>
            </w:r>
          </w:p>
        </w:tc>
        <w:tc>
          <w:tcPr>
            <w:tcW w:w="1890" w:type="dxa"/>
          </w:tcPr>
          <w:p w:rsidR="00E873E8" w:rsidRPr="00E873E8" w:rsidRDefault="00E873E8" w:rsidP="00E873E8">
            <w:pPr>
              <w:contextualSpacing/>
              <w:jc w:val="center"/>
            </w:pPr>
            <w:r w:rsidRPr="00E873E8">
              <w:t>41</w:t>
            </w:r>
          </w:p>
        </w:tc>
        <w:tc>
          <w:tcPr>
            <w:tcW w:w="2160" w:type="dxa"/>
          </w:tcPr>
          <w:p w:rsidR="00E873E8" w:rsidRPr="00E873E8" w:rsidRDefault="00E873E8" w:rsidP="00E873E8">
            <w:pPr>
              <w:contextualSpacing/>
              <w:jc w:val="center"/>
            </w:pPr>
            <w:r w:rsidRPr="00E873E8">
              <w:t>83%</w:t>
            </w:r>
          </w:p>
        </w:tc>
        <w:tc>
          <w:tcPr>
            <w:tcW w:w="1890" w:type="dxa"/>
          </w:tcPr>
          <w:p w:rsidR="00E873E8" w:rsidRPr="00E873E8" w:rsidRDefault="00E873E8" w:rsidP="00E873E8">
            <w:pPr>
              <w:contextualSpacing/>
              <w:jc w:val="right"/>
            </w:pPr>
            <w:r w:rsidRPr="00E873E8">
              <w:t>$39,982.94</w:t>
            </w:r>
          </w:p>
        </w:tc>
        <w:tc>
          <w:tcPr>
            <w:tcW w:w="1890" w:type="dxa"/>
          </w:tcPr>
          <w:p w:rsidR="00E873E8" w:rsidRPr="00E873E8" w:rsidRDefault="00E873E8" w:rsidP="00E873E8">
            <w:pPr>
              <w:contextualSpacing/>
              <w:jc w:val="right"/>
            </w:pPr>
            <w:r w:rsidRPr="00E873E8">
              <w:t>(-) $478.90</w:t>
            </w:r>
          </w:p>
        </w:tc>
      </w:tr>
      <w:tr w:rsidR="00E873E8" w:rsidRPr="00E873E8" w:rsidTr="00E873E8">
        <w:tc>
          <w:tcPr>
            <w:tcW w:w="1458" w:type="dxa"/>
          </w:tcPr>
          <w:p w:rsidR="00E873E8" w:rsidRPr="00E873E8" w:rsidRDefault="00E873E8" w:rsidP="00E873E8">
            <w:pPr>
              <w:contextualSpacing/>
              <w:jc w:val="center"/>
            </w:pPr>
            <w:r w:rsidRPr="00E873E8">
              <w:t>2015</w:t>
            </w:r>
          </w:p>
        </w:tc>
        <w:tc>
          <w:tcPr>
            <w:tcW w:w="1890" w:type="dxa"/>
          </w:tcPr>
          <w:p w:rsidR="00E873E8" w:rsidRPr="00E873E8" w:rsidRDefault="00E873E8" w:rsidP="00E873E8">
            <w:pPr>
              <w:contextualSpacing/>
              <w:jc w:val="center"/>
            </w:pPr>
            <w:r w:rsidRPr="00E873E8">
              <w:t>45</w:t>
            </w:r>
          </w:p>
        </w:tc>
        <w:tc>
          <w:tcPr>
            <w:tcW w:w="2160" w:type="dxa"/>
          </w:tcPr>
          <w:p w:rsidR="00E873E8" w:rsidRPr="00E873E8" w:rsidRDefault="00E873E8" w:rsidP="00E873E8">
            <w:pPr>
              <w:contextualSpacing/>
              <w:jc w:val="center"/>
            </w:pPr>
            <w:r w:rsidRPr="00E873E8">
              <w:t>81%</w:t>
            </w:r>
          </w:p>
        </w:tc>
        <w:tc>
          <w:tcPr>
            <w:tcW w:w="1890" w:type="dxa"/>
          </w:tcPr>
          <w:p w:rsidR="00E873E8" w:rsidRPr="00E873E8" w:rsidRDefault="00E873E8" w:rsidP="00E873E8">
            <w:pPr>
              <w:contextualSpacing/>
              <w:jc w:val="right"/>
            </w:pPr>
            <w:r w:rsidRPr="00E873E8">
              <w:t>$27,237.43</w:t>
            </w:r>
          </w:p>
        </w:tc>
        <w:tc>
          <w:tcPr>
            <w:tcW w:w="1890" w:type="dxa"/>
          </w:tcPr>
          <w:p w:rsidR="00E873E8" w:rsidRPr="00E873E8" w:rsidRDefault="00E873E8" w:rsidP="00E873E8">
            <w:pPr>
              <w:contextualSpacing/>
              <w:jc w:val="right"/>
            </w:pPr>
            <w:r w:rsidRPr="00E873E8">
              <w:t>(-) $12,745.51</w:t>
            </w:r>
          </w:p>
        </w:tc>
      </w:tr>
      <w:tr w:rsidR="00E873E8" w:rsidRPr="00E873E8" w:rsidTr="00E873E8">
        <w:tc>
          <w:tcPr>
            <w:tcW w:w="1458" w:type="dxa"/>
          </w:tcPr>
          <w:p w:rsidR="00E873E8" w:rsidRPr="00E873E8" w:rsidRDefault="00E873E8" w:rsidP="00E873E8">
            <w:pPr>
              <w:contextualSpacing/>
              <w:jc w:val="center"/>
            </w:pPr>
            <w:r w:rsidRPr="00E873E8">
              <w:t>2016</w:t>
            </w:r>
          </w:p>
        </w:tc>
        <w:tc>
          <w:tcPr>
            <w:tcW w:w="1890" w:type="dxa"/>
          </w:tcPr>
          <w:p w:rsidR="00E873E8" w:rsidRPr="00E873E8" w:rsidRDefault="00E873E8" w:rsidP="00E873E8">
            <w:pPr>
              <w:contextualSpacing/>
              <w:jc w:val="center"/>
            </w:pPr>
            <w:r w:rsidRPr="00E873E8">
              <w:t>62</w:t>
            </w:r>
          </w:p>
        </w:tc>
        <w:tc>
          <w:tcPr>
            <w:tcW w:w="2160" w:type="dxa"/>
          </w:tcPr>
          <w:p w:rsidR="00E873E8" w:rsidRPr="00E873E8" w:rsidRDefault="00E873E8" w:rsidP="00E873E8">
            <w:pPr>
              <w:contextualSpacing/>
              <w:jc w:val="center"/>
            </w:pPr>
            <w:r w:rsidRPr="00E873E8">
              <w:t>74%</w:t>
            </w:r>
          </w:p>
        </w:tc>
        <w:tc>
          <w:tcPr>
            <w:tcW w:w="1890" w:type="dxa"/>
          </w:tcPr>
          <w:p w:rsidR="00E873E8" w:rsidRPr="00E873E8" w:rsidRDefault="00E873E8" w:rsidP="00E873E8">
            <w:pPr>
              <w:contextualSpacing/>
              <w:jc w:val="right"/>
            </w:pPr>
            <w:r w:rsidRPr="00E873E8">
              <w:t>$25,500.58</w:t>
            </w:r>
          </w:p>
        </w:tc>
        <w:tc>
          <w:tcPr>
            <w:tcW w:w="1890" w:type="dxa"/>
          </w:tcPr>
          <w:p w:rsidR="00E873E8" w:rsidRPr="00E873E8" w:rsidRDefault="00E873E8" w:rsidP="00E873E8">
            <w:pPr>
              <w:contextualSpacing/>
              <w:jc w:val="right"/>
            </w:pPr>
            <w:r w:rsidRPr="00E873E8">
              <w:t>(-) $1,736.85</w:t>
            </w:r>
          </w:p>
        </w:tc>
      </w:tr>
      <w:tr w:rsidR="00E873E8" w:rsidRPr="00E873E8" w:rsidTr="00E873E8">
        <w:tc>
          <w:tcPr>
            <w:tcW w:w="1458" w:type="dxa"/>
          </w:tcPr>
          <w:p w:rsidR="00E873E8" w:rsidRPr="00E873E8" w:rsidRDefault="00E873E8" w:rsidP="00E873E8">
            <w:pPr>
              <w:contextualSpacing/>
              <w:jc w:val="center"/>
            </w:pPr>
            <w:r w:rsidRPr="00E873E8">
              <w:t>2017</w:t>
            </w:r>
          </w:p>
        </w:tc>
        <w:tc>
          <w:tcPr>
            <w:tcW w:w="1890" w:type="dxa"/>
          </w:tcPr>
          <w:p w:rsidR="00E873E8" w:rsidRPr="00E873E8" w:rsidRDefault="00E873E8" w:rsidP="00E873E8">
            <w:pPr>
              <w:contextualSpacing/>
              <w:jc w:val="center"/>
            </w:pPr>
            <w:r w:rsidRPr="00E873E8">
              <w:t>147</w:t>
            </w:r>
          </w:p>
        </w:tc>
        <w:tc>
          <w:tcPr>
            <w:tcW w:w="2160" w:type="dxa"/>
          </w:tcPr>
          <w:p w:rsidR="00E873E8" w:rsidRPr="00E873E8" w:rsidRDefault="00E873E8" w:rsidP="00E873E8">
            <w:pPr>
              <w:contextualSpacing/>
              <w:jc w:val="center"/>
            </w:pPr>
            <w:r w:rsidRPr="00E873E8">
              <w:t>55%</w:t>
            </w:r>
          </w:p>
        </w:tc>
        <w:tc>
          <w:tcPr>
            <w:tcW w:w="1890" w:type="dxa"/>
          </w:tcPr>
          <w:p w:rsidR="00E873E8" w:rsidRPr="00E873E8" w:rsidRDefault="00E873E8" w:rsidP="00E873E8">
            <w:pPr>
              <w:contextualSpacing/>
              <w:jc w:val="right"/>
            </w:pPr>
            <w:r w:rsidRPr="00E873E8">
              <w:t>$8,690.73</w:t>
            </w:r>
          </w:p>
        </w:tc>
        <w:tc>
          <w:tcPr>
            <w:tcW w:w="1890" w:type="dxa"/>
          </w:tcPr>
          <w:p w:rsidR="00E873E8" w:rsidRPr="00E873E8" w:rsidRDefault="00E873E8" w:rsidP="00E873E8">
            <w:pPr>
              <w:contextualSpacing/>
              <w:jc w:val="right"/>
            </w:pPr>
            <w:r w:rsidRPr="00E873E8">
              <w:t>(-) $16,809.85</w:t>
            </w:r>
          </w:p>
        </w:tc>
      </w:tr>
    </w:tbl>
    <w:p w:rsidR="00E873E8" w:rsidRPr="00E873E8" w:rsidRDefault="00E873E8" w:rsidP="00E873E8">
      <w:pPr>
        <w:contextualSpacing/>
      </w:pPr>
    </w:p>
    <w:p w:rsidR="009E20BD" w:rsidRPr="009E20BD" w:rsidRDefault="009E20BD" w:rsidP="009E20BD">
      <w:pPr>
        <w:contextualSpacing/>
        <w:rPr>
          <w:b/>
        </w:rPr>
      </w:pPr>
      <w:r w:rsidRPr="009E20BD">
        <w:rPr>
          <w:b/>
        </w:rPr>
        <w:t xml:space="preserve">Table 3.  Summary report of </w:t>
      </w:r>
      <w:r w:rsidRPr="009E20BD">
        <w:rPr>
          <w:b/>
          <w:i/>
        </w:rPr>
        <w:t>Journal of Entomological Science</w:t>
      </w:r>
      <w:r w:rsidRPr="009E20BD">
        <w:rPr>
          <w:b/>
        </w:rPr>
        <w:t xml:space="preserve"> account with deposits, disbursements, and beginning and ending balances, 1 March 2016 through 28 February 2017.</w:t>
      </w:r>
    </w:p>
    <w:p w:rsidR="009E20BD" w:rsidRPr="009E20BD" w:rsidRDefault="009E20BD" w:rsidP="009E20BD">
      <w:pPr>
        <w:contextualSpacing/>
      </w:pPr>
    </w:p>
    <w:tbl>
      <w:tblPr>
        <w:tblStyle w:val="TableGrid6"/>
        <w:tblW w:w="0" w:type="auto"/>
        <w:tblLook w:val="04A0" w:firstRow="1" w:lastRow="0" w:firstColumn="1" w:lastColumn="0" w:noHBand="0" w:noVBand="1"/>
      </w:tblPr>
      <w:tblGrid>
        <w:gridCol w:w="4230"/>
        <w:gridCol w:w="1530"/>
        <w:gridCol w:w="1710"/>
      </w:tblGrid>
      <w:tr w:rsidR="009E20BD" w:rsidRPr="009E20BD" w:rsidTr="008422AF">
        <w:tc>
          <w:tcPr>
            <w:tcW w:w="4230" w:type="dxa"/>
          </w:tcPr>
          <w:p w:rsidR="009E20BD" w:rsidRPr="009E20BD" w:rsidRDefault="009E20BD" w:rsidP="009E20BD">
            <w:pPr>
              <w:contextualSpacing/>
              <w:rPr>
                <w:b/>
              </w:rPr>
            </w:pPr>
            <w:r w:rsidRPr="009E20BD">
              <w:rPr>
                <w:b/>
              </w:rPr>
              <w:t>Beginning Balance [3/1/2016]</w:t>
            </w:r>
          </w:p>
        </w:tc>
        <w:tc>
          <w:tcPr>
            <w:tcW w:w="1530" w:type="dxa"/>
          </w:tcPr>
          <w:p w:rsidR="009E20BD" w:rsidRPr="009E20BD" w:rsidRDefault="009E20BD" w:rsidP="009E20BD">
            <w:pPr>
              <w:contextualSpacing/>
              <w:jc w:val="right"/>
              <w:rPr>
                <w:b/>
              </w:rPr>
            </w:pPr>
          </w:p>
        </w:tc>
        <w:tc>
          <w:tcPr>
            <w:tcW w:w="1710" w:type="dxa"/>
          </w:tcPr>
          <w:p w:rsidR="009E20BD" w:rsidRPr="009E20BD" w:rsidRDefault="009E20BD" w:rsidP="009E20BD">
            <w:pPr>
              <w:contextualSpacing/>
              <w:jc w:val="right"/>
              <w:rPr>
                <w:b/>
              </w:rPr>
            </w:pPr>
            <w:r w:rsidRPr="009E20BD">
              <w:rPr>
                <w:b/>
              </w:rPr>
              <w:t>$27,237.43</w:t>
            </w:r>
          </w:p>
        </w:tc>
      </w:tr>
      <w:tr w:rsidR="009E20BD" w:rsidRPr="009E20BD" w:rsidTr="008422AF">
        <w:tc>
          <w:tcPr>
            <w:tcW w:w="4230" w:type="dxa"/>
          </w:tcPr>
          <w:p w:rsidR="009E20BD" w:rsidRPr="009E20BD" w:rsidRDefault="009E20BD" w:rsidP="009E20BD">
            <w:pPr>
              <w:contextualSpacing/>
              <w:rPr>
                <w:b/>
              </w:rPr>
            </w:pPr>
            <w:r w:rsidRPr="009E20BD">
              <w:rPr>
                <w:b/>
              </w:rPr>
              <w:t>Deposits (+)</w:t>
            </w:r>
          </w:p>
        </w:tc>
        <w:tc>
          <w:tcPr>
            <w:tcW w:w="1530" w:type="dxa"/>
          </w:tcPr>
          <w:p w:rsidR="009E20BD" w:rsidRPr="009E20BD" w:rsidRDefault="009E20BD" w:rsidP="009E20BD">
            <w:pPr>
              <w:contextualSpacing/>
              <w:jc w:val="right"/>
              <w:rPr>
                <w:b/>
              </w:rPr>
            </w:pPr>
          </w:p>
        </w:tc>
        <w:tc>
          <w:tcPr>
            <w:tcW w:w="1710" w:type="dxa"/>
          </w:tcPr>
          <w:p w:rsidR="009E20BD" w:rsidRPr="009E20BD" w:rsidRDefault="009E20BD" w:rsidP="009E20BD">
            <w:pPr>
              <w:contextualSpacing/>
              <w:jc w:val="right"/>
              <w:rPr>
                <w:b/>
              </w:rPr>
            </w:pPr>
            <w:r w:rsidRPr="009E20BD">
              <w:rPr>
                <w:b/>
              </w:rPr>
              <w:t>27,448.59</w:t>
            </w:r>
          </w:p>
        </w:tc>
      </w:tr>
      <w:tr w:rsidR="009E20BD" w:rsidRPr="009E20BD" w:rsidTr="008422AF">
        <w:tc>
          <w:tcPr>
            <w:tcW w:w="4230" w:type="dxa"/>
          </w:tcPr>
          <w:p w:rsidR="009E20BD" w:rsidRPr="009E20BD" w:rsidRDefault="009E20BD" w:rsidP="009E20BD">
            <w:pPr>
              <w:contextualSpacing/>
              <w:rPr>
                <w:b/>
              </w:rPr>
            </w:pPr>
            <w:r w:rsidRPr="009E20BD">
              <w:rPr>
                <w:b/>
              </w:rPr>
              <w:t>Disbursements (-)</w:t>
            </w:r>
          </w:p>
        </w:tc>
        <w:tc>
          <w:tcPr>
            <w:tcW w:w="1530" w:type="dxa"/>
          </w:tcPr>
          <w:p w:rsidR="009E20BD" w:rsidRPr="009E20BD" w:rsidRDefault="009E20BD" w:rsidP="009E20BD">
            <w:pPr>
              <w:contextualSpacing/>
              <w:jc w:val="right"/>
              <w:rPr>
                <w:b/>
              </w:rPr>
            </w:pPr>
          </w:p>
        </w:tc>
        <w:tc>
          <w:tcPr>
            <w:tcW w:w="1710" w:type="dxa"/>
          </w:tcPr>
          <w:p w:rsidR="009E20BD" w:rsidRPr="009E20BD" w:rsidRDefault="009E20BD" w:rsidP="009E20BD">
            <w:pPr>
              <w:contextualSpacing/>
              <w:jc w:val="right"/>
              <w:rPr>
                <w:b/>
              </w:rPr>
            </w:pPr>
            <w:r w:rsidRPr="009E20BD">
              <w:rPr>
                <w:b/>
              </w:rPr>
              <w:t>29,185.44</w:t>
            </w:r>
          </w:p>
        </w:tc>
      </w:tr>
      <w:tr w:rsidR="009E20BD" w:rsidRPr="009E20BD" w:rsidTr="008422AF">
        <w:tc>
          <w:tcPr>
            <w:tcW w:w="4230" w:type="dxa"/>
          </w:tcPr>
          <w:p w:rsidR="009E20BD" w:rsidRPr="009E20BD" w:rsidRDefault="009E20BD" w:rsidP="009E20BD">
            <w:pPr>
              <w:contextualSpacing/>
              <w:rPr>
                <w:b/>
              </w:rPr>
            </w:pPr>
            <w:r w:rsidRPr="009E20BD">
              <w:rPr>
                <w:b/>
              </w:rPr>
              <w:t>Ending Balance [2/28/2014]</w:t>
            </w:r>
          </w:p>
        </w:tc>
        <w:tc>
          <w:tcPr>
            <w:tcW w:w="1530" w:type="dxa"/>
          </w:tcPr>
          <w:p w:rsidR="009E20BD" w:rsidRPr="009E20BD" w:rsidRDefault="009E20BD" w:rsidP="009E20BD">
            <w:pPr>
              <w:contextualSpacing/>
              <w:jc w:val="right"/>
              <w:rPr>
                <w:b/>
              </w:rPr>
            </w:pPr>
          </w:p>
        </w:tc>
        <w:tc>
          <w:tcPr>
            <w:tcW w:w="1710" w:type="dxa"/>
          </w:tcPr>
          <w:p w:rsidR="009E20BD" w:rsidRPr="009E20BD" w:rsidRDefault="009E20BD" w:rsidP="009E20BD">
            <w:pPr>
              <w:contextualSpacing/>
              <w:jc w:val="right"/>
              <w:rPr>
                <w:b/>
              </w:rPr>
            </w:pPr>
            <w:r w:rsidRPr="009E20BD">
              <w:rPr>
                <w:b/>
              </w:rPr>
              <w:t>$25,500.58</w:t>
            </w:r>
          </w:p>
        </w:tc>
      </w:tr>
      <w:tr w:rsidR="009E20BD" w:rsidRPr="009E20BD" w:rsidTr="008422AF">
        <w:tc>
          <w:tcPr>
            <w:tcW w:w="4230" w:type="dxa"/>
          </w:tcPr>
          <w:p w:rsidR="009E20BD" w:rsidRPr="009E20BD" w:rsidRDefault="009E20BD" w:rsidP="009E20BD">
            <w:pPr>
              <w:contextualSpacing/>
              <w:rPr>
                <w:b/>
              </w:rPr>
            </w:pPr>
          </w:p>
        </w:tc>
        <w:tc>
          <w:tcPr>
            <w:tcW w:w="1530" w:type="dxa"/>
          </w:tcPr>
          <w:p w:rsidR="009E20BD" w:rsidRPr="009E20BD" w:rsidRDefault="009E20BD" w:rsidP="009E20BD">
            <w:pPr>
              <w:contextualSpacing/>
              <w:rPr>
                <w:b/>
              </w:rPr>
            </w:pPr>
          </w:p>
        </w:tc>
        <w:tc>
          <w:tcPr>
            <w:tcW w:w="1710" w:type="dxa"/>
          </w:tcPr>
          <w:p w:rsidR="009E20BD" w:rsidRPr="009E20BD" w:rsidRDefault="009E20BD" w:rsidP="009E20BD">
            <w:pPr>
              <w:contextualSpacing/>
              <w:rPr>
                <w:b/>
              </w:rPr>
            </w:pPr>
          </w:p>
        </w:tc>
      </w:tr>
      <w:tr w:rsidR="009E20BD" w:rsidRPr="009E20BD" w:rsidTr="008422AF">
        <w:tc>
          <w:tcPr>
            <w:tcW w:w="4230" w:type="dxa"/>
          </w:tcPr>
          <w:p w:rsidR="009E20BD" w:rsidRPr="009E20BD" w:rsidRDefault="009E20BD" w:rsidP="009E20BD">
            <w:pPr>
              <w:contextualSpacing/>
              <w:rPr>
                <w:b/>
                <w:u w:val="single"/>
              </w:rPr>
            </w:pPr>
            <w:r w:rsidRPr="009E20BD">
              <w:rPr>
                <w:b/>
                <w:u w:val="single"/>
              </w:rPr>
              <w:t>Deposits</w:t>
            </w:r>
          </w:p>
        </w:tc>
        <w:tc>
          <w:tcPr>
            <w:tcW w:w="1530" w:type="dxa"/>
          </w:tcPr>
          <w:p w:rsidR="009E20BD" w:rsidRPr="009E20BD" w:rsidRDefault="009E20BD" w:rsidP="009E20BD">
            <w:pPr>
              <w:contextualSpacing/>
              <w:rPr>
                <w:b/>
              </w:rPr>
            </w:pPr>
          </w:p>
        </w:tc>
        <w:tc>
          <w:tcPr>
            <w:tcW w:w="1710" w:type="dxa"/>
          </w:tcPr>
          <w:p w:rsidR="009E20BD" w:rsidRPr="009E20BD" w:rsidRDefault="009E20BD" w:rsidP="009E20BD">
            <w:pPr>
              <w:contextualSpacing/>
              <w:rPr>
                <w:b/>
              </w:rPr>
            </w:pPr>
          </w:p>
        </w:tc>
      </w:tr>
      <w:tr w:rsidR="009E20BD" w:rsidRPr="009E20BD" w:rsidTr="008422AF">
        <w:tc>
          <w:tcPr>
            <w:tcW w:w="4230" w:type="dxa"/>
          </w:tcPr>
          <w:p w:rsidR="009E20BD" w:rsidRPr="009E20BD" w:rsidRDefault="009E20BD" w:rsidP="009E20BD">
            <w:pPr>
              <w:contextualSpacing/>
            </w:pPr>
            <w:r w:rsidRPr="009E20BD">
              <w:t>Library Subscriptions</w:t>
            </w:r>
          </w:p>
        </w:tc>
        <w:tc>
          <w:tcPr>
            <w:tcW w:w="1530" w:type="dxa"/>
          </w:tcPr>
          <w:p w:rsidR="009E20BD" w:rsidRPr="009E20BD" w:rsidRDefault="009E20BD" w:rsidP="009E20BD">
            <w:pPr>
              <w:contextualSpacing/>
              <w:jc w:val="right"/>
            </w:pPr>
          </w:p>
        </w:tc>
        <w:tc>
          <w:tcPr>
            <w:tcW w:w="1710" w:type="dxa"/>
          </w:tcPr>
          <w:p w:rsidR="009E20BD" w:rsidRPr="009E20BD" w:rsidRDefault="009E20BD" w:rsidP="009E20BD">
            <w:pPr>
              <w:contextualSpacing/>
              <w:jc w:val="right"/>
            </w:pPr>
            <w:r w:rsidRPr="009E20BD">
              <w:t>$3,160.00</w:t>
            </w:r>
          </w:p>
        </w:tc>
      </w:tr>
      <w:tr w:rsidR="009E20BD" w:rsidRPr="009E20BD" w:rsidTr="008422AF">
        <w:tc>
          <w:tcPr>
            <w:tcW w:w="4230" w:type="dxa"/>
          </w:tcPr>
          <w:p w:rsidR="009E20BD" w:rsidRPr="009E20BD" w:rsidRDefault="009E20BD" w:rsidP="009E20BD">
            <w:pPr>
              <w:contextualSpacing/>
            </w:pPr>
            <w:r w:rsidRPr="009E20BD">
              <w:t>Publication and Reprint Charges</w:t>
            </w:r>
          </w:p>
        </w:tc>
        <w:tc>
          <w:tcPr>
            <w:tcW w:w="1530" w:type="dxa"/>
          </w:tcPr>
          <w:p w:rsidR="009E20BD" w:rsidRPr="009E20BD" w:rsidRDefault="009E20BD" w:rsidP="009E20BD">
            <w:pPr>
              <w:contextualSpacing/>
              <w:jc w:val="right"/>
            </w:pPr>
          </w:p>
        </w:tc>
        <w:tc>
          <w:tcPr>
            <w:tcW w:w="1710" w:type="dxa"/>
          </w:tcPr>
          <w:p w:rsidR="009E20BD" w:rsidRPr="009E20BD" w:rsidRDefault="009E20BD" w:rsidP="009E20BD">
            <w:pPr>
              <w:contextualSpacing/>
              <w:jc w:val="right"/>
            </w:pPr>
            <w:r w:rsidRPr="009E20BD">
              <w:t>$22,902.30</w:t>
            </w:r>
          </w:p>
        </w:tc>
      </w:tr>
      <w:tr w:rsidR="009E20BD" w:rsidRPr="009E20BD" w:rsidTr="008422AF">
        <w:tc>
          <w:tcPr>
            <w:tcW w:w="4230" w:type="dxa"/>
          </w:tcPr>
          <w:p w:rsidR="009E20BD" w:rsidRPr="009E20BD" w:rsidRDefault="009E20BD" w:rsidP="009E20BD">
            <w:pPr>
              <w:contextualSpacing/>
            </w:pPr>
            <w:r w:rsidRPr="009E20BD">
              <w:t>Royalties</w:t>
            </w:r>
          </w:p>
        </w:tc>
        <w:tc>
          <w:tcPr>
            <w:tcW w:w="1530" w:type="dxa"/>
          </w:tcPr>
          <w:p w:rsidR="009E20BD" w:rsidRPr="009E20BD" w:rsidRDefault="009E20BD" w:rsidP="009E20BD">
            <w:pPr>
              <w:contextualSpacing/>
              <w:jc w:val="right"/>
            </w:pPr>
          </w:p>
        </w:tc>
        <w:tc>
          <w:tcPr>
            <w:tcW w:w="1710" w:type="dxa"/>
          </w:tcPr>
          <w:p w:rsidR="009E20BD" w:rsidRPr="009E20BD" w:rsidRDefault="009E20BD" w:rsidP="009E20BD">
            <w:pPr>
              <w:contextualSpacing/>
              <w:jc w:val="right"/>
            </w:pPr>
            <w:r w:rsidRPr="009E20BD">
              <w:t>$1,386.29</w:t>
            </w:r>
          </w:p>
        </w:tc>
      </w:tr>
      <w:tr w:rsidR="009E20BD" w:rsidRPr="009E20BD" w:rsidTr="008422AF">
        <w:tc>
          <w:tcPr>
            <w:tcW w:w="4230" w:type="dxa"/>
          </w:tcPr>
          <w:p w:rsidR="009E20BD" w:rsidRPr="009E20BD" w:rsidRDefault="009E20BD" w:rsidP="009E20BD">
            <w:pPr>
              <w:contextualSpacing/>
              <w:rPr>
                <w:b/>
              </w:rPr>
            </w:pPr>
            <w:r w:rsidRPr="009E20BD">
              <w:rPr>
                <w:b/>
              </w:rPr>
              <w:t>Total Deposits</w:t>
            </w:r>
          </w:p>
        </w:tc>
        <w:tc>
          <w:tcPr>
            <w:tcW w:w="1530" w:type="dxa"/>
          </w:tcPr>
          <w:p w:rsidR="009E20BD" w:rsidRPr="009E20BD" w:rsidRDefault="009E20BD" w:rsidP="009E20BD">
            <w:pPr>
              <w:contextualSpacing/>
              <w:jc w:val="right"/>
              <w:rPr>
                <w:b/>
              </w:rPr>
            </w:pPr>
          </w:p>
        </w:tc>
        <w:tc>
          <w:tcPr>
            <w:tcW w:w="1710" w:type="dxa"/>
          </w:tcPr>
          <w:p w:rsidR="009E20BD" w:rsidRPr="009E20BD" w:rsidRDefault="009E20BD" w:rsidP="009E20BD">
            <w:pPr>
              <w:contextualSpacing/>
              <w:jc w:val="right"/>
              <w:rPr>
                <w:b/>
              </w:rPr>
            </w:pPr>
            <w:r w:rsidRPr="009E20BD">
              <w:rPr>
                <w:b/>
              </w:rPr>
              <w:t>$27,448.59</w:t>
            </w:r>
          </w:p>
        </w:tc>
      </w:tr>
      <w:tr w:rsidR="009E20BD" w:rsidRPr="009E20BD" w:rsidTr="008422AF">
        <w:tc>
          <w:tcPr>
            <w:tcW w:w="4230" w:type="dxa"/>
          </w:tcPr>
          <w:p w:rsidR="009E20BD" w:rsidRPr="009E20BD" w:rsidRDefault="009E20BD" w:rsidP="009E20BD">
            <w:pPr>
              <w:contextualSpacing/>
              <w:rPr>
                <w:b/>
              </w:rPr>
            </w:pPr>
          </w:p>
        </w:tc>
        <w:tc>
          <w:tcPr>
            <w:tcW w:w="1530" w:type="dxa"/>
          </w:tcPr>
          <w:p w:rsidR="009E20BD" w:rsidRPr="009E20BD" w:rsidRDefault="009E20BD" w:rsidP="009E20BD">
            <w:pPr>
              <w:contextualSpacing/>
              <w:jc w:val="right"/>
              <w:rPr>
                <w:b/>
              </w:rPr>
            </w:pPr>
          </w:p>
        </w:tc>
        <w:tc>
          <w:tcPr>
            <w:tcW w:w="1710" w:type="dxa"/>
          </w:tcPr>
          <w:p w:rsidR="009E20BD" w:rsidRPr="009E20BD" w:rsidRDefault="009E20BD" w:rsidP="009E20BD">
            <w:pPr>
              <w:contextualSpacing/>
              <w:jc w:val="right"/>
              <w:rPr>
                <w:b/>
              </w:rPr>
            </w:pPr>
          </w:p>
        </w:tc>
      </w:tr>
      <w:tr w:rsidR="009E20BD" w:rsidRPr="009E20BD" w:rsidTr="008422AF">
        <w:tc>
          <w:tcPr>
            <w:tcW w:w="4230" w:type="dxa"/>
          </w:tcPr>
          <w:p w:rsidR="009E20BD" w:rsidRPr="009E20BD" w:rsidRDefault="009E20BD" w:rsidP="009E20BD">
            <w:pPr>
              <w:contextualSpacing/>
              <w:rPr>
                <w:b/>
                <w:u w:val="single"/>
              </w:rPr>
            </w:pPr>
            <w:r w:rsidRPr="009E20BD">
              <w:rPr>
                <w:b/>
                <w:u w:val="single"/>
              </w:rPr>
              <w:t>Disbursements</w:t>
            </w:r>
          </w:p>
        </w:tc>
        <w:tc>
          <w:tcPr>
            <w:tcW w:w="1530" w:type="dxa"/>
          </w:tcPr>
          <w:p w:rsidR="009E20BD" w:rsidRPr="009E20BD" w:rsidRDefault="009E20BD" w:rsidP="009E20BD">
            <w:pPr>
              <w:contextualSpacing/>
              <w:jc w:val="right"/>
              <w:rPr>
                <w:b/>
              </w:rPr>
            </w:pPr>
          </w:p>
        </w:tc>
        <w:tc>
          <w:tcPr>
            <w:tcW w:w="1710" w:type="dxa"/>
          </w:tcPr>
          <w:p w:rsidR="009E20BD" w:rsidRPr="009E20BD" w:rsidRDefault="009E20BD" w:rsidP="009E20BD">
            <w:pPr>
              <w:contextualSpacing/>
              <w:jc w:val="right"/>
              <w:rPr>
                <w:b/>
              </w:rPr>
            </w:pPr>
          </w:p>
        </w:tc>
      </w:tr>
      <w:tr w:rsidR="009E20BD" w:rsidRPr="009E20BD" w:rsidTr="008422AF">
        <w:tc>
          <w:tcPr>
            <w:tcW w:w="4230" w:type="dxa"/>
          </w:tcPr>
          <w:p w:rsidR="009E20BD" w:rsidRPr="009E20BD" w:rsidRDefault="009E20BD" w:rsidP="009E20BD">
            <w:pPr>
              <w:contextualSpacing/>
              <w:rPr>
                <w:b/>
              </w:rPr>
            </w:pPr>
            <w:r w:rsidRPr="009E20BD">
              <w:rPr>
                <w:b/>
              </w:rPr>
              <w:t>Allen Press</w:t>
            </w:r>
          </w:p>
        </w:tc>
        <w:tc>
          <w:tcPr>
            <w:tcW w:w="1530" w:type="dxa"/>
          </w:tcPr>
          <w:p w:rsidR="009E20BD" w:rsidRPr="009E20BD" w:rsidRDefault="009E20BD" w:rsidP="009E20BD">
            <w:pPr>
              <w:contextualSpacing/>
              <w:jc w:val="right"/>
            </w:pPr>
          </w:p>
        </w:tc>
        <w:tc>
          <w:tcPr>
            <w:tcW w:w="1710" w:type="dxa"/>
          </w:tcPr>
          <w:p w:rsidR="009E20BD" w:rsidRPr="009E20BD" w:rsidRDefault="009E20BD" w:rsidP="009E20BD">
            <w:pPr>
              <w:contextualSpacing/>
              <w:jc w:val="right"/>
            </w:pPr>
            <w:r w:rsidRPr="009E20BD">
              <w:t>$27,696.25</w:t>
            </w:r>
          </w:p>
        </w:tc>
      </w:tr>
      <w:tr w:rsidR="009E20BD" w:rsidRPr="009E20BD" w:rsidTr="008422AF">
        <w:tc>
          <w:tcPr>
            <w:tcW w:w="4230" w:type="dxa"/>
          </w:tcPr>
          <w:p w:rsidR="009E20BD" w:rsidRPr="009E20BD" w:rsidRDefault="009E20BD" w:rsidP="009E20BD">
            <w:pPr>
              <w:contextualSpacing/>
            </w:pPr>
          </w:p>
        </w:tc>
        <w:tc>
          <w:tcPr>
            <w:tcW w:w="1530" w:type="dxa"/>
          </w:tcPr>
          <w:p w:rsidR="009E20BD" w:rsidRPr="009E20BD" w:rsidRDefault="009E20BD" w:rsidP="009E20BD">
            <w:pPr>
              <w:contextualSpacing/>
              <w:jc w:val="right"/>
            </w:pPr>
          </w:p>
        </w:tc>
        <w:tc>
          <w:tcPr>
            <w:tcW w:w="1710" w:type="dxa"/>
          </w:tcPr>
          <w:p w:rsidR="009E20BD" w:rsidRPr="009E20BD" w:rsidRDefault="009E20BD" w:rsidP="009E20BD">
            <w:pPr>
              <w:contextualSpacing/>
              <w:jc w:val="right"/>
            </w:pPr>
          </w:p>
        </w:tc>
      </w:tr>
      <w:tr w:rsidR="009E20BD" w:rsidRPr="009E20BD" w:rsidTr="008422AF">
        <w:tc>
          <w:tcPr>
            <w:tcW w:w="4230" w:type="dxa"/>
          </w:tcPr>
          <w:p w:rsidR="009E20BD" w:rsidRPr="009E20BD" w:rsidRDefault="009E20BD" w:rsidP="009E20BD">
            <w:pPr>
              <w:contextualSpacing/>
              <w:rPr>
                <w:b/>
              </w:rPr>
            </w:pPr>
            <w:r w:rsidRPr="009E20BD">
              <w:rPr>
                <w:b/>
              </w:rPr>
              <w:t>Banking Fees</w:t>
            </w:r>
          </w:p>
        </w:tc>
        <w:tc>
          <w:tcPr>
            <w:tcW w:w="1530" w:type="dxa"/>
          </w:tcPr>
          <w:p w:rsidR="009E20BD" w:rsidRPr="009E20BD" w:rsidRDefault="009E20BD" w:rsidP="009E20BD">
            <w:pPr>
              <w:contextualSpacing/>
              <w:jc w:val="right"/>
            </w:pPr>
          </w:p>
        </w:tc>
        <w:tc>
          <w:tcPr>
            <w:tcW w:w="1710" w:type="dxa"/>
          </w:tcPr>
          <w:p w:rsidR="009E20BD" w:rsidRPr="009E20BD" w:rsidRDefault="009E20BD" w:rsidP="009E20BD">
            <w:pPr>
              <w:contextualSpacing/>
              <w:jc w:val="right"/>
            </w:pPr>
            <w:r w:rsidRPr="009E20BD">
              <w:t>$1,294.98</w:t>
            </w:r>
          </w:p>
        </w:tc>
      </w:tr>
      <w:tr w:rsidR="009E20BD" w:rsidRPr="009E20BD" w:rsidTr="008422AF">
        <w:tc>
          <w:tcPr>
            <w:tcW w:w="4230" w:type="dxa"/>
          </w:tcPr>
          <w:p w:rsidR="009E20BD" w:rsidRPr="009E20BD" w:rsidRDefault="009E20BD" w:rsidP="009E20BD">
            <w:pPr>
              <w:contextualSpacing/>
            </w:pPr>
            <w:r w:rsidRPr="009E20BD">
              <w:t>VISA/MC/Discover Fees (Regions Bank)</w:t>
            </w:r>
          </w:p>
        </w:tc>
        <w:tc>
          <w:tcPr>
            <w:tcW w:w="1530" w:type="dxa"/>
          </w:tcPr>
          <w:p w:rsidR="009E20BD" w:rsidRPr="009E20BD" w:rsidRDefault="009E20BD" w:rsidP="009E20BD">
            <w:pPr>
              <w:contextualSpacing/>
              <w:jc w:val="right"/>
            </w:pPr>
            <w:r w:rsidRPr="009E20BD">
              <w:t>$1,046.60</w:t>
            </w:r>
          </w:p>
        </w:tc>
        <w:tc>
          <w:tcPr>
            <w:tcW w:w="1710" w:type="dxa"/>
          </w:tcPr>
          <w:p w:rsidR="009E20BD" w:rsidRPr="009E20BD" w:rsidRDefault="009E20BD" w:rsidP="009E20BD">
            <w:pPr>
              <w:contextualSpacing/>
              <w:jc w:val="right"/>
            </w:pPr>
          </w:p>
        </w:tc>
      </w:tr>
      <w:tr w:rsidR="009E20BD" w:rsidRPr="009E20BD" w:rsidTr="008422AF">
        <w:tc>
          <w:tcPr>
            <w:tcW w:w="4230" w:type="dxa"/>
          </w:tcPr>
          <w:p w:rsidR="009E20BD" w:rsidRPr="009E20BD" w:rsidRDefault="009E20BD" w:rsidP="009E20BD">
            <w:pPr>
              <w:contextualSpacing/>
            </w:pPr>
            <w:r w:rsidRPr="009E20BD">
              <w:t>Checking Account Fees (Regions Bank)</w:t>
            </w:r>
          </w:p>
        </w:tc>
        <w:tc>
          <w:tcPr>
            <w:tcW w:w="1530" w:type="dxa"/>
          </w:tcPr>
          <w:p w:rsidR="009E20BD" w:rsidRPr="009E20BD" w:rsidRDefault="009E20BD" w:rsidP="009E20BD">
            <w:pPr>
              <w:contextualSpacing/>
              <w:jc w:val="right"/>
            </w:pPr>
            <w:r w:rsidRPr="009E20BD">
              <w:t>$36.00</w:t>
            </w:r>
          </w:p>
        </w:tc>
        <w:tc>
          <w:tcPr>
            <w:tcW w:w="1710" w:type="dxa"/>
          </w:tcPr>
          <w:p w:rsidR="009E20BD" w:rsidRPr="009E20BD" w:rsidRDefault="009E20BD" w:rsidP="009E20BD">
            <w:pPr>
              <w:contextualSpacing/>
              <w:jc w:val="right"/>
            </w:pPr>
          </w:p>
        </w:tc>
      </w:tr>
      <w:tr w:rsidR="009E20BD" w:rsidRPr="009E20BD" w:rsidTr="008422AF">
        <w:tc>
          <w:tcPr>
            <w:tcW w:w="4230" w:type="dxa"/>
          </w:tcPr>
          <w:p w:rsidR="009E20BD" w:rsidRPr="009E20BD" w:rsidRDefault="009E20BD" w:rsidP="009E20BD">
            <w:pPr>
              <w:contextualSpacing/>
            </w:pPr>
            <w:r w:rsidRPr="009E20BD">
              <w:t>Check Printing (Regions Bank)</w:t>
            </w:r>
          </w:p>
        </w:tc>
        <w:tc>
          <w:tcPr>
            <w:tcW w:w="1530" w:type="dxa"/>
          </w:tcPr>
          <w:p w:rsidR="009E20BD" w:rsidRPr="009E20BD" w:rsidRDefault="009E20BD" w:rsidP="009E20BD">
            <w:pPr>
              <w:contextualSpacing/>
              <w:jc w:val="right"/>
            </w:pPr>
            <w:r w:rsidRPr="009E20BD">
              <w:t>$212.38</w:t>
            </w:r>
          </w:p>
        </w:tc>
        <w:tc>
          <w:tcPr>
            <w:tcW w:w="1710" w:type="dxa"/>
          </w:tcPr>
          <w:p w:rsidR="009E20BD" w:rsidRPr="009E20BD" w:rsidRDefault="009E20BD" w:rsidP="009E20BD">
            <w:pPr>
              <w:contextualSpacing/>
              <w:jc w:val="right"/>
            </w:pPr>
          </w:p>
        </w:tc>
      </w:tr>
      <w:tr w:rsidR="009E20BD" w:rsidRPr="009E20BD" w:rsidTr="008422AF">
        <w:tc>
          <w:tcPr>
            <w:tcW w:w="4230" w:type="dxa"/>
          </w:tcPr>
          <w:p w:rsidR="009E20BD" w:rsidRPr="009E20BD" w:rsidRDefault="009E20BD" w:rsidP="009E20BD">
            <w:pPr>
              <w:contextualSpacing/>
            </w:pPr>
          </w:p>
        </w:tc>
        <w:tc>
          <w:tcPr>
            <w:tcW w:w="1530" w:type="dxa"/>
          </w:tcPr>
          <w:p w:rsidR="009E20BD" w:rsidRPr="009E20BD" w:rsidRDefault="009E20BD" w:rsidP="009E20BD">
            <w:pPr>
              <w:contextualSpacing/>
              <w:jc w:val="right"/>
            </w:pPr>
          </w:p>
        </w:tc>
        <w:tc>
          <w:tcPr>
            <w:tcW w:w="1710" w:type="dxa"/>
          </w:tcPr>
          <w:p w:rsidR="009E20BD" w:rsidRPr="009E20BD" w:rsidRDefault="009E20BD" w:rsidP="009E20BD">
            <w:pPr>
              <w:contextualSpacing/>
              <w:jc w:val="right"/>
            </w:pPr>
          </w:p>
        </w:tc>
      </w:tr>
      <w:tr w:rsidR="009E20BD" w:rsidRPr="009E20BD" w:rsidTr="008422AF">
        <w:tc>
          <w:tcPr>
            <w:tcW w:w="4230" w:type="dxa"/>
          </w:tcPr>
          <w:p w:rsidR="009E20BD" w:rsidRPr="009E20BD" w:rsidRDefault="009E20BD" w:rsidP="009E20BD">
            <w:pPr>
              <w:contextualSpacing/>
              <w:rPr>
                <w:b/>
              </w:rPr>
            </w:pPr>
            <w:r w:rsidRPr="009E20BD">
              <w:rPr>
                <w:b/>
              </w:rPr>
              <w:t>Miscellaneous Office Supplies</w:t>
            </w:r>
          </w:p>
        </w:tc>
        <w:tc>
          <w:tcPr>
            <w:tcW w:w="1530" w:type="dxa"/>
          </w:tcPr>
          <w:p w:rsidR="009E20BD" w:rsidRPr="009E20BD" w:rsidRDefault="009E20BD" w:rsidP="009E20BD">
            <w:pPr>
              <w:contextualSpacing/>
              <w:jc w:val="right"/>
            </w:pPr>
          </w:p>
        </w:tc>
        <w:tc>
          <w:tcPr>
            <w:tcW w:w="1710" w:type="dxa"/>
          </w:tcPr>
          <w:p w:rsidR="009E20BD" w:rsidRPr="009E20BD" w:rsidRDefault="009E20BD" w:rsidP="009E20BD">
            <w:pPr>
              <w:contextualSpacing/>
              <w:jc w:val="right"/>
            </w:pPr>
            <w:r w:rsidRPr="009E20BD">
              <w:t>$194.21</w:t>
            </w:r>
          </w:p>
        </w:tc>
      </w:tr>
      <w:tr w:rsidR="009E20BD" w:rsidRPr="009E20BD" w:rsidTr="008422AF">
        <w:tc>
          <w:tcPr>
            <w:tcW w:w="4230" w:type="dxa"/>
          </w:tcPr>
          <w:p w:rsidR="009E20BD" w:rsidRPr="009E20BD" w:rsidRDefault="009E20BD" w:rsidP="009E20BD">
            <w:pPr>
              <w:contextualSpacing/>
            </w:pPr>
            <w:r w:rsidRPr="009E20BD">
              <w:t>Office Depot (printer supplies)</w:t>
            </w:r>
          </w:p>
        </w:tc>
        <w:tc>
          <w:tcPr>
            <w:tcW w:w="1530" w:type="dxa"/>
          </w:tcPr>
          <w:p w:rsidR="009E20BD" w:rsidRPr="009E20BD" w:rsidRDefault="009E20BD" w:rsidP="009E20BD">
            <w:pPr>
              <w:contextualSpacing/>
              <w:jc w:val="right"/>
            </w:pPr>
            <w:r w:rsidRPr="009E20BD">
              <w:t>$164.21</w:t>
            </w:r>
          </w:p>
        </w:tc>
        <w:tc>
          <w:tcPr>
            <w:tcW w:w="1710" w:type="dxa"/>
          </w:tcPr>
          <w:p w:rsidR="009E20BD" w:rsidRPr="009E20BD" w:rsidRDefault="009E20BD" w:rsidP="009E20BD">
            <w:pPr>
              <w:contextualSpacing/>
              <w:jc w:val="right"/>
            </w:pPr>
          </w:p>
        </w:tc>
      </w:tr>
      <w:tr w:rsidR="009E20BD" w:rsidRPr="009E20BD" w:rsidTr="008422AF">
        <w:tc>
          <w:tcPr>
            <w:tcW w:w="4230" w:type="dxa"/>
          </w:tcPr>
          <w:p w:rsidR="009E20BD" w:rsidRPr="009E20BD" w:rsidRDefault="009E20BD" w:rsidP="009E20BD">
            <w:pPr>
              <w:contextualSpacing/>
            </w:pPr>
            <w:r w:rsidRPr="009E20BD">
              <w:t>Mailing Labels (Professional Printers)</w:t>
            </w:r>
          </w:p>
        </w:tc>
        <w:tc>
          <w:tcPr>
            <w:tcW w:w="1530" w:type="dxa"/>
          </w:tcPr>
          <w:p w:rsidR="009E20BD" w:rsidRPr="009E20BD" w:rsidRDefault="009E20BD" w:rsidP="009E20BD">
            <w:pPr>
              <w:contextualSpacing/>
              <w:jc w:val="right"/>
            </w:pPr>
            <w:r w:rsidRPr="009E20BD">
              <w:t>$30.00</w:t>
            </w:r>
          </w:p>
        </w:tc>
        <w:tc>
          <w:tcPr>
            <w:tcW w:w="1710" w:type="dxa"/>
          </w:tcPr>
          <w:p w:rsidR="009E20BD" w:rsidRPr="009E20BD" w:rsidRDefault="009E20BD" w:rsidP="009E20BD">
            <w:pPr>
              <w:contextualSpacing/>
              <w:jc w:val="right"/>
            </w:pPr>
          </w:p>
        </w:tc>
      </w:tr>
      <w:tr w:rsidR="009E20BD" w:rsidRPr="009E20BD" w:rsidTr="008422AF">
        <w:tc>
          <w:tcPr>
            <w:tcW w:w="4230" w:type="dxa"/>
          </w:tcPr>
          <w:p w:rsidR="009E20BD" w:rsidRPr="009E20BD" w:rsidRDefault="009E20BD" w:rsidP="009E20BD">
            <w:pPr>
              <w:contextualSpacing/>
            </w:pPr>
          </w:p>
        </w:tc>
        <w:tc>
          <w:tcPr>
            <w:tcW w:w="1530" w:type="dxa"/>
          </w:tcPr>
          <w:p w:rsidR="009E20BD" w:rsidRPr="009E20BD" w:rsidRDefault="009E20BD" w:rsidP="009E20BD">
            <w:pPr>
              <w:contextualSpacing/>
              <w:jc w:val="right"/>
            </w:pPr>
          </w:p>
        </w:tc>
        <w:tc>
          <w:tcPr>
            <w:tcW w:w="1710" w:type="dxa"/>
          </w:tcPr>
          <w:p w:rsidR="009E20BD" w:rsidRPr="009E20BD" w:rsidRDefault="009E20BD" w:rsidP="009E20BD">
            <w:pPr>
              <w:contextualSpacing/>
              <w:jc w:val="right"/>
            </w:pPr>
          </w:p>
        </w:tc>
      </w:tr>
      <w:tr w:rsidR="009E20BD" w:rsidRPr="009E20BD" w:rsidTr="008422AF">
        <w:tc>
          <w:tcPr>
            <w:tcW w:w="4230" w:type="dxa"/>
          </w:tcPr>
          <w:p w:rsidR="009E20BD" w:rsidRPr="009E20BD" w:rsidRDefault="009E20BD" w:rsidP="009E20BD">
            <w:pPr>
              <w:contextualSpacing/>
              <w:rPr>
                <w:b/>
              </w:rPr>
            </w:pPr>
            <w:r w:rsidRPr="009E20BD">
              <w:rPr>
                <w:b/>
              </w:rPr>
              <w:t>Total Disbursements</w:t>
            </w:r>
          </w:p>
        </w:tc>
        <w:tc>
          <w:tcPr>
            <w:tcW w:w="1530" w:type="dxa"/>
          </w:tcPr>
          <w:p w:rsidR="009E20BD" w:rsidRPr="009E20BD" w:rsidRDefault="009E20BD" w:rsidP="009E20BD">
            <w:pPr>
              <w:contextualSpacing/>
              <w:jc w:val="right"/>
              <w:rPr>
                <w:b/>
              </w:rPr>
            </w:pPr>
          </w:p>
        </w:tc>
        <w:tc>
          <w:tcPr>
            <w:tcW w:w="1710" w:type="dxa"/>
          </w:tcPr>
          <w:p w:rsidR="009E20BD" w:rsidRPr="009E20BD" w:rsidRDefault="009E20BD" w:rsidP="009E20BD">
            <w:pPr>
              <w:contextualSpacing/>
              <w:jc w:val="right"/>
              <w:rPr>
                <w:b/>
              </w:rPr>
            </w:pPr>
            <w:r w:rsidRPr="009E20BD">
              <w:rPr>
                <w:b/>
              </w:rPr>
              <w:t>$29,185.44</w:t>
            </w:r>
          </w:p>
        </w:tc>
      </w:tr>
    </w:tbl>
    <w:p w:rsidR="009E20BD" w:rsidRPr="009E20BD" w:rsidRDefault="009E20BD" w:rsidP="009E20BD">
      <w:pPr>
        <w:contextualSpacing/>
      </w:pPr>
    </w:p>
    <w:p w:rsidR="00EF5B52" w:rsidRPr="00750E8D" w:rsidRDefault="009E20BD" w:rsidP="00E873E8">
      <w:pPr>
        <w:jc w:val="center"/>
        <w:rPr>
          <w:b/>
          <w:sz w:val="24"/>
          <w:szCs w:val="24"/>
        </w:rPr>
      </w:pPr>
      <w:r>
        <w:rPr>
          <w:b/>
          <w:sz w:val="24"/>
          <w:szCs w:val="24"/>
        </w:rPr>
        <w:br w:type="page"/>
      </w:r>
      <w:r w:rsidR="00EF5B52" w:rsidRPr="00750E8D">
        <w:rPr>
          <w:b/>
          <w:sz w:val="24"/>
          <w:szCs w:val="24"/>
        </w:rPr>
        <w:lastRenderedPageBreak/>
        <w:t>Award Winners</w:t>
      </w:r>
    </w:p>
    <w:p w:rsidR="00EF5B52" w:rsidRPr="00750E8D" w:rsidRDefault="00EF5B52" w:rsidP="00EF5B52">
      <w:pPr>
        <w:spacing w:after="0"/>
        <w:jc w:val="center"/>
        <w:rPr>
          <w:b/>
          <w:sz w:val="24"/>
          <w:szCs w:val="24"/>
        </w:rPr>
      </w:pPr>
      <w:r w:rsidRPr="00750E8D">
        <w:rPr>
          <w:b/>
          <w:sz w:val="24"/>
          <w:szCs w:val="24"/>
        </w:rPr>
        <w:t>Georgia Entomological Society Annual Meeting</w:t>
      </w:r>
    </w:p>
    <w:p w:rsidR="00EC221F" w:rsidRPr="00EC221F" w:rsidRDefault="009E20BD" w:rsidP="00EC221F">
      <w:pPr>
        <w:spacing w:after="0"/>
        <w:jc w:val="center"/>
        <w:rPr>
          <w:b/>
          <w:sz w:val="24"/>
          <w:szCs w:val="24"/>
        </w:rPr>
      </w:pPr>
      <w:r>
        <w:rPr>
          <w:b/>
          <w:sz w:val="24"/>
          <w:szCs w:val="24"/>
        </w:rPr>
        <w:t xml:space="preserve">April </w:t>
      </w:r>
      <w:r w:rsidR="00E873E8">
        <w:rPr>
          <w:b/>
          <w:sz w:val="24"/>
          <w:szCs w:val="24"/>
        </w:rPr>
        <w:t>04-</w:t>
      </w:r>
      <w:r>
        <w:rPr>
          <w:b/>
          <w:sz w:val="24"/>
          <w:szCs w:val="24"/>
        </w:rPr>
        <w:t>0</w:t>
      </w:r>
      <w:r w:rsidR="00E873E8">
        <w:rPr>
          <w:b/>
          <w:sz w:val="24"/>
          <w:szCs w:val="24"/>
        </w:rPr>
        <w:t>6</w:t>
      </w:r>
      <w:r w:rsidR="00EC221F" w:rsidRPr="00EC221F">
        <w:rPr>
          <w:b/>
          <w:sz w:val="24"/>
          <w:szCs w:val="24"/>
        </w:rPr>
        <w:t>, 201</w:t>
      </w:r>
      <w:r w:rsidR="00E873E8">
        <w:rPr>
          <w:b/>
          <w:sz w:val="24"/>
          <w:szCs w:val="24"/>
        </w:rPr>
        <w:t>8</w:t>
      </w:r>
      <w:r w:rsidR="00EC221F" w:rsidRPr="00EC221F">
        <w:rPr>
          <w:b/>
          <w:sz w:val="24"/>
          <w:szCs w:val="24"/>
        </w:rPr>
        <w:t xml:space="preserve">. </w:t>
      </w:r>
      <w:r w:rsidR="00E873E8">
        <w:rPr>
          <w:b/>
          <w:sz w:val="24"/>
          <w:szCs w:val="24"/>
        </w:rPr>
        <w:t>Unicoi State Park, Helen</w:t>
      </w:r>
      <w:r w:rsidR="00EC221F" w:rsidRPr="00EC221F">
        <w:rPr>
          <w:b/>
          <w:sz w:val="24"/>
          <w:szCs w:val="24"/>
        </w:rPr>
        <w:t>, GA</w:t>
      </w:r>
    </w:p>
    <w:p w:rsidR="00EF5B52" w:rsidRPr="00750E8D" w:rsidRDefault="00EF5B52" w:rsidP="00EF5B52">
      <w:pPr>
        <w:spacing w:after="0"/>
        <w:jc w:val="center"/>
        <w:rPr>
          <w:b/>
          <w:sz w:val="24"/>
          <w:szCs w:val="24"/>
        </w:rPr>
      </w:pPr>
    </w:p>
    <w:p w:rsidR="00EF5B52" w:rsidRDefault="00EF5B52" w:rsidP="00EF5B52">
      <w:pPr>
        <w:spacing w:after="0"/>
      </w:pPr>
    </w:p>
    <w:p w:rsidR="00EF5B52" w:rsidRDefault="00EF5B52" w:rsidP="00EF5B52">
      <w:pPr>
        <w:spacing w:after="0"/>
      </w:pPr>
      <w:r>
        <w:t xml:space="preserve">The following awards </w:t>
      </w:r>
      <w:proofErr w:type="gramStart"/>
      <w:r>
        <w:t>were presented</w:t>
      </w:r>
      <w:proofErr w:type="gramEnd"/>
      <w:r>
        <w:t xml:space="preserve"> at the </w:t>
      </w:r>
      <w:r w:rsidR="00EC221F">
        <w:t>8</w:t>
      </w:r>
      <w:r w:rsidR="00E873E8">
        <w:t>2nd</w:t>
      </w:r>
      <w:r>
        <w:t xml:space="preserve"> GES Annual Meeting:</w:t>
      </w:r>
    </w:p>
    <w:p w:rsidR="00EF5B52" w:rsidRDefault="00EF5B52" w:rsidP="00EF5B52">
      <w:pPr>
        <w:spacing w:after="0"/>
      </w:pPr>
    </w:p>
    <w:p w:rsidR="00EF5B52" w:rsidRDefault="00EF5B52" w:rsidP="00EF5B52">
      <w:pPr>
        <w:spacing w:after="0"/>
      </w:pPr>
      <w:r>
        <w:t>Founder Honoree:</w:t>
      </w:r>
      <w:r>
        <w:tab/>
      </w:r>
      <w:r w:rsidR="00E873E8">
        <w:t>Herb Womack</w:t>
      </w:r>
    </w:p>
    <w:p w:rsidR="00EF5B52" w:rsidRDefault="00C2720F" w:rsidP="00EF5B52">
      <w:pPr>
        <w:spacing w:after="0"/>
      </w:pPr>
      <w:r>
        <w:t>Founder’s Lecture</w:t>
      </w:r>
      <w:r w:rsidR="00EC221F">
        <w:t>:</w:t>
      </w:r>
      <w:r>
        <w:tab/>
      </w:r>
      <w:r w:rsidR="00E873E8">
        <w:t>Phillip Roberts</w:t>
      </w:r>
    </w:p>
    <w:p w:rsidR="00EF5B52" w:rsidRDefault="00EC221F" w:rsidP="00EF5B52">
      <w:pPr>
        <w:spacing w:after="0"/>
      </w:pPr>
      <w:r>
        <w:t>Fellow Honoree:</w:t>
      </w:r>
      <w:r w:rsidR="00E873E8">
        <w:tab/>
        <w:t>Bill Lambert</w:t>
      </w:r>
    </w:p>
    <w:p w:rsidR="00E873E8" w:rsidRDefault="00E873E8" w:rsidP="00E873E8">
      <w:pPr>
        <w:spacing w:after="0"/>
      </w:pPr>
      <w:r>
        <w:t>Fellow Honoree:</w:t>
      </w:r>
      <w:r>
        <w:tab/>
        <w:t>Ray Noblet</w:t>
      </w:r>
    </w:p>
    <w:p w:rsidR="00E873E8" w:rsidRDefault="00E873E8" w:rsidP="00EF5B52">
      <w:pPr>
        <w:spacing w:after="0"/>
      </w:pPr>
    </w:p>
    <w:p w:rsidR="00EF5B52" w:rsidRDefault="00EF5B52" w:rsidP="00EF5B52">
      <w:pPr>
        <w:spacing w:after="0"/>
      </w:pPr>
    </w:p>
    <w:p w:rsidR="00EF5B52" w:rsidRDefault="00EF5B52" w:rsidP="00EF5B52">
      <w:pPr>
        <w:spacing w:after="0"/>
      </w:pPr>
      <w:r>
        <w:t>GES PhD Scholarship:</w:t>
      </w:r>
      <w:r>
        <w:tab/>
      </w:r>
      <w:r w:rsidR="00E873E8">
        <w:t>Conor Fair</w:t>
      </w:r>
    </w:p>
    <w:p w:rsidR="00EF5B52" w:rsidRDefault="00EF5B52" w:rsidP="00EF5B52">
      <w:pPr>
        <w:spacing w:after="0"/>
      </w:pPr>
    </w:p>
    <w:p w:rsidR="00EF5B52" w:rsidRDefault="00350EFC" w:rsidP="00EF5B52">
      <w:pPr>
        <w:spacing w:after="0"/>
      </w:pPr>
      <w:r>
        <w:t>GE</w:t>
      </w:r>
      <w:r w:rsidR="00EC221F">
        <w:t>S MS Scholarship:</w:t>
      </w:r>
      <w:r w:rsidR="00EC221F">
        <w:tab/>
      </w:r>
      <w:r w:rsidR="00E873E8">
        <w:t>Kelly Murray</w:t>
      </w:r>
    </w:p>
    <w:p w:rsidR="00EF5B52" w:rsidRDefault="00EF5B52" w:rsidP="00EF5B52">
      <w:pPr>
        <w:spacing w:after="0"/>
      </w:pPr>
    </w:p>
    <w:p w:rsidR="00EF5B52" w:rsidRDefault="00EF5B52" w:rsidP="00EF5B52">
      <w:pPr>
        <w:spacing w:after="0"/>
      </w:pPr>
    </w:p>
    <w:p w:rsidR="00EF5B52" w:rsidRDefault="00EF5B52" w:rsidP="00EF5B52">
      <w:pPr>
        <w:spacing w:after="0"/>
      </w:pPr>
      <w:r>
        <w:t>T.L. Bissell Award (MS and BS oral presentations):</w:t>
      </w:r>
    </w:p>
    <w:p w:rsidR="00EF5B52" w:rsidRDefault="00EF5B52" w:rsidP="00EF5B52">
      <w:pPr>
        <w:spacing w:after="0"/>
      </w:pPr>
      <w:r>
        <w:t>First Place:</w:t>
      </w:r>
      <w:r>
        <w:tab/>
      </w:r>
      <w:r>
        <w:tab/>
      </w:r>
      <w:r w:rsidR="00E873E8">
        <w:t>Holly Munro</w:t>
      </w:r>
    </w:p>
    <w:p w:rsidR="00EC60DE" w:rsidRDefault="004C28F5" w:rsidP="00EF5B52">
      <w:pPr>
        <w:spacing w:after="0"/>
      </w:pPr>
      <w:r>
        <w:t>Second Place:</w:t>
      </w:r>
      <w:r>
        <w:tab/>
      </w:r>
      <w:r>
        <w:tab/>
      </w:r>
      <w:r w:rsidR="00E873E8">
        <w:t>Kirk Green</w:t>
      </w:r>
    </w:p>
    <w:p w:rsidR="00EF5B52" w:rsidRDefault="00EC60DE" w:rsidP="00EF5B52">
      <w:pPr>
        <w:spacing w:after="0"/>
      </w:pPr>
      <w:r>
        <w:t xml:space="preserve">Third </w:t>
      </w:r>
      <w:r w:rsidR="004C28F5">
        <w:t>Place:</w:t>
      </w:r>
      <w:r w:rsidR="004C28F5">
        <w:tab/>
      </w:r>
      <w:r w:rsidR="004C28F5">
        <w:tab/>
      </w:r>
      <w:r w:rsidR="00E873E8">
        <w:t>Kelly Murray</w:t>
      </w:r>
    </w:p>
    <w:p w:rsidR="00EF5B52" w:rsidRDefault="00EF5B52" w:rsidP="00EF5B52">
      <w:pPr>
        <w:spacing w:after="0"/>
      </w:pPr>
    </w:p>
    <w:p w:rsidR="00EF5B52" w:rsidRDefault="00EF5B52" w:rsidP="00EF5B52">
      <w:pPr>
        <w:spacing w:after="0"/>
      </w:pPr>
    </w:p>
    <w:p w:rsidR="00EF5B52" w:rsidRDefault="00EF5B52" w:rsidP="00EF5B52">
      <w:pPr>
        <w:spacing w:after="0"/>
      </w:pPr>
      <w:r>
        <w:t>C.M. Beckham Award (PhD oral presentations):</w:t>
      </w:r>
    </w:p>
    <w:p w:rsidR="00EF5B52" w:rsidRDefault="004C28F5" w:rsidP="00EF5B52">
      <w:pPr>
        <w:spacing w:after="0"/>
      </w:pPr>
      <w:r>
        <w:t>First Place:</w:t>
      </w:r>
      <w:r>
        <w:tab/>
      </w:r>
      <w:r>
        <w:tab/>
      </w:r>
      <w:r w:rsidR="00E873E8">
        <w:t>Evan McCoy</w:t>
      </w:r>
    </w:p>
    <w:p w:rsidR="00EF5B52" w:rsidRDefault="004C28F5" w:rsidP="00EF5B52">
      <w:pPr>
        <w:spacing w:after="0"/>
      </w:pPr>
      <w:r>
        <w:t>Second Place:</w:t>
      </w:r>
      <w:r>
        <w:tab/>
      </w:r>
      <w:r w:rsidR="00EC60DE">
        <w:tab/>
      </w:r>
      <w:r w:rsidR="00E873E8">
        <w:t>Thomas Whitney</w:t>
      </w:r>
    </w:p>
    <w:p w:rsidR="00EF5B52" w:rsidRDefault="00EC60DE" w:rsidP="00EF5B52">
      <w:pPr>
        <w:spacing w:after="0"/>
      </w:pPr>
      <w:r>
        <w:t>Third place:</w:t>
      </w:r>
      <w:r w:rsidR="00E873E8">
        <w:tab/>
      </w:r>
      <w:r w:rsidR="00E873E8">
        <w:tab/>
      </w:r>
      <w:proofErr w:type="spellStart"/>
      <w:r w:rsidR="00E873E8">
        <w:t>Saurabh</w:t>
      </w:r>
      <w:proofErr w:type="spellEnd"/>
      <w:r w:rsidR="00E873E8">
        <w:t xml:space="preserve"> </w:t>
      </w:r>
      <w:proofErr w:type="spellStart"/>
      <w:r w:rsidR="00E873E8">
        <w:t>Gautam</w:t>
      </w:r>
      <w:proofErr w:type="spellEnd"/>
    </w:p>
    <w:p w:rsidR="00E873E8" w:rsidRDefault="00E873E8" w:rsidP="00EF5B52">
      <w:pPr>
        <w:spacing w:after="0"/>
      </w:pPr>
      <w:r>
        <w:tab/>
      </w:r>
      <w:r>
        <w:tab/>
      </w:r>
      <w:r>
        <w:tab/>
      </w:r>
      <w:proofErr w:type="spellStart"/>
      <w:r>
        <w:t>PinChu</w:t>
      </w:r>
      <w:proofErr w:type="spellEnd"/>
      <w:r>
        <w:t xml:space="preserve"> Lai</w:t>
      </w:r>
    </w:p>
    <w:p w:rsidR="00EF5B52" w:rsidRDefault="00EF5B52" w:rsidP="00EF5B52">
      <w:pPr>
        <w:spacing w:after="0"/>
      </w:pPr>
    </w:p>
    <w:p w:rsidR="00EF5B52" w:rsidRDefault="00EF5B52" w:rsidP="00EF5B52">
      <w:pPr>
        <w:spacing w:after="0"/>
      </w:pPr>
      <w:r>
        <w:t>U.E. Brady Award (Student poster presentation):</w:t>
      </w:r>
    </w:p>
    <w:p w:rsidR="00EF5B52" w:rsidRDefault="004C28F5" w:rsidP="00EF5B52">
      <w:pPr>
        <w:spacing w:after="0"/>
      </w:pPr>
      <w:r>
        <w:t>First Place:</w:t>
      </w:r>
      <w:r>
        <w:tab/>
      </w:r>
      <w:r>
        <w:tab/>
      </w:r>
      <w:r w:rsidR="00E873E8">
        <w:t>Conor Fair</w:t>
      </w:r>
    </w:p>
    <w:p w:rsidR="00EF5B52" w:rsidRDefault="004C28F5" w:rsidP="00EF5B52">
      <w:pPr>
        <w:spacing w:after="0"/>
      </w:pPr>
      <w:r>
        <w:t>Second Place:</w:t>
      </w:r>
      <w:r>
        <w:tab/>
      </w:r>
      <w:r>
        <w:tab/>
      </w:r>
      <w:r w:rsidR="00E873E8">
        <w:t>Bryce Sutherland</w:t>
      </w:r>
    </w:p>
    <w:p w:rsidR="00EF5B52" w:rsidRDefault="004C28F5" w:rsidP="00EF5B52">
      <w:pPr>
        <w:spacing w:after="0"/>
      </w:pPr>
      <w:r>
        <w:t>Third Place:</w:t>
      </w:r>
      <w:r>
        <w:tab/>
      </w:r>
      <w:r>
        <w:tab/>
      </w:r>
      <w:r w:rsidR="00E873E8">
        <w:t>Emilee Poole</w:t>
      </w:r>
    </w:p>
    <w:p w:rsidR="00EF5B52" w:rsidRDefault="00EF5B52" w:rsidP="00EF5B52">
      <w:pPr>
        <w:spacing w:after="0"/>
      </w:pPr>
    </w:p>
    <w:p w:rsidR="00EF5B52" w:rsidRDefault="00EF5B52" w:rsidP="00EF5B52">
      <w:pPr>
        <w:spacing w:after="0"/>
      </w:pPr>
    </w:p>
    <w:p w:rsidR="00EF5B52" w:rsidRDefault="00EF5B52" w:rsidP="00EF5B52">
      <w:pPr>
        <w:spacing w:after="0"/>
      </w:pPr>
      <w:r>
        <w:t xml:space="preserve">O.I. </w:t>
      </w:r>
      <w:proofErr w:type="spellStart"/>
      <w:r>
        <w:t>Snapp</w:t>
      </w:r>
      <w:proofErr w:type="spellEnd"/>
      <w:r>
        <w:t xml:space="preserve"> Award (Non-stude</w:t>
      </w:r>
      <w:r w:rsidR="00B87E3F">
        <w:t>n</w:t>
      </w:r>
      <w:r>
        <w:t>t oral presentation)</w:t>
      </w:r>
    </w:p>
    <w:p w:rsidR="00EF5B52" w:rsidRDefault="00EF5B52" w:rsidP="00EF5B52">
      <w:pPr>
        <w:spacing w:after="0"/>
      </w:pPr>
      <w:r>
        <w:t>Winner:</w:t>
      </w:r>
      <w:r>
        <w:tab/>
      </w:r>
      <w:r>
        <w:tab/>
      </w:r>
      <w:r w:rsidR="00E873E8">
        <w:t xml:space="preserve">Mike </w:t>
      </w:r>
      <w:proofErr w:type="spellStart"/>
      <w:r w:rsidR="00E873E8">
        <w:t>Toews</w:t>
      </w:r>
      <w:proofErr w:type="spellEnd"/>
    </w:p>
    <w:p w:rsidR="00EF5B52" w:rsidRDefault="00EF5B52" w:rsidP="00EF5B52">
      <w:r>
        <w:br w:type="page"/>
      </w:r>
    </w:p>
    <w:p w:rsidR="00EF5B52" w:rsidRPr="00750E8D" w:rsidRDefault="00EF5B52" w:rsidP="00EF5B52">
      <w:pPr>
        <w:spacing w:after="0"/>
        <w:jc w:val="center"/>
        <w:rPr>
          <w:b/>
          <w:sz w:val="24"/>
          <w:szCs w:val="24"/>
        </w:rPr>
      </w:pPr>
      <w:r>
        <w:rPr>
          <w:b/>
          <w:sz w:val="24"/>
          <w:szCs w:val="24"/>
        </w:rPr>
        <w:lastRenderedPageBreak/>
        <w:t>Photo Salon</w:t>
      </w:r>
      <w:r w:rsidRPr="00750E8D">
        <w:rPr>
          <w:b/>
          <w:sz w:val="24"/>
          <w:szCs w:val="24"/>
        </w:rPr>
        <w:t xml:space="preserve"> Winners</w:t>
      </w:r>
    </w:p>
    <w:p w:rsidR="00EF5B52" w:rsidRPr="00750E8D" w:rsidRDefault="00EF5B52" w:rsidP="00EF5B52">
      <w:pPr>
        <w:spacing w:after="0"/>
        <w:jc w:val="center"/>
        <w:rPr>
          <w:b/>
          <w:sz w:val="24"/>
          <w:szCs w:val="24"/>
        </w:rPr>
      </w:pPr>
      <w:r w:rsidRPr="00750E8D">
        <w:rPr>
          <w:b/>
          <w:sz w:val="24"/>
          <w:szCs w:val="24"/>
        </w:rPr>
        <w:t>Georgia Entomological Society Annual Meeting</w:t>
      </w:r>
    </w:p>
    <w:p w:rsidR="00E873E8" w:rsidRPr="00EC221F" w:rsidRDefault="00E873E8" w:rsidP="00E873E8">
      <w:pPr>
        <w:spacing w:after="0"/>
        <w:jc w:val="center"/>
        <w:rPr>
          <w:b/>
          <w:sz w:val="24"/>
          <w:szCs w:val="24"/>
        </w:rPr>
      </w:pPr>
      <w:r>
        <w:rPr>
          <w:b/>
          <w:sz w:val="24"/>
          <w:szCs w:val="24"/>
        </w:rPr>
        <w:t>April 04-06</w:t>
      </w:r>
      <w:r w:rsidRPr="00EC221F">
        <w:rPr>
          <w:b/>
          <w:sz w:val="24"/>
          <w:szCs w:val="24"/>
        </w:rPr>
        <w:t>, 201</w:t>
      </w:r>
      <w:r>
        <w:rPr>
          <w:b/>
          <w:sz w:val="24"/>
          <w:szCs w:val="24"/>
        </w:rPr>
        <w:t>8</w:t>
      </w:r>
      <w:r w:rsidRPr="00EC221F">
        <w:rPr>
          <w:b/>
          <w:sz w:val="24"/>
          <w:szCs w:val="24"/>
        </w:rPr>
        <w:t xml:space="preserve">. </w:t>
      </w:r>
      <w:r>
        <w:rPr>
          <w:b/>
          <w:sz w:val="24"/>
          <w:szCs w:val="24"/>
        </w:rPr>
        <w:t>Unicoi State Park, Helen</w:t>
      </w:r>
      <w:r w:rsidRPr="00EC221F">
        <w:rPr>
          <w:b/>
          <w:sz w:val="24"/>
          <w:szCs w:val="24"/>
        </w:rPr>
        <w:t>, GA</w:t>
      </w:r>
    </w:p>
    <w:p w:rsidR="00876411" w:rsidRPr="00750E8D" w:rsidRDefault="00876411" w:rsidP="00876411">
      <w:pPr>
        <w:spacing w:after="0"/>
        <w:jc w:val="center"/>
        <w:rPr>
          <w:b/>
          <w:sz w:val="24"/>
          <w:szCs w:val="24"/>
        </w:rPr>
      </w:pPr>
    </w:p>
    <w:p w:rsidR="00EF5B52" w:rsidRDefault="00EF5B52" w:rsidP="00EF5B52">
      <w:pPr>
        <w:spacing w:after="0"/>
      </w:pPr>
    </w:p>
    <w:p w:rsidR="00EF5B52" w:rsidRDefault="00EF5B52" w:rsidP="00EF5B52">
      <w:pPr>
        <w:spacing w:after="0"/>
      </w:pPr>
      <w:r w:rsidRPr="00EF50BE">
        <w:rPr>
          <w:u w:val="single"/>
        </w:rPr>
        <w:t>Biology Category</w:t>
      </w:r>
      <w:r>
        <w:t>:</w:t>
      </w:r>
    </w:p>
    <w:p w:rsidR="00EF5B52" w:rsidRDefault="00EF5B52" w:rsidP="00EF5B52">
      <w:pPr>
        <w:spacing w:after="0"/>
      </w:pPr>
    </w:p>
    <w:p w:rsidR="00EF5B52" w:rsidRDefault="00EF5B52" w:rsidP="00EF5B52">
      <w:pPr>
        <w:spacing w:after="0"/>
      </w:pPr>
      <w:r>
        <w:t>First Place:</w:t>
      </w:r>
      <w:r>
        <w:tab/>
      </w:r>
      <w:r>
        <w:tab/>
      </w:r>
      <w:r w:rsidR="003A03D3">
        <w:t>Merle Shepard</w:t>
      </w:r>
    </w:p>
    <w:p w:rsidR="00EF5B52" w:rsidRDefault="0037745D" w:rsidP="00EF5B52">
      <w:pPr>
        <w:spacing w:after="0"/>
      </w:pPr>
      <w:r>
        <w:t>Second Place:</w:t>
      </w:r>
      <w:r>
        <w:tab/>
      </w:r>
      <w:r>
        <w:tab/>
      </w:r>
      <w:r w:rsidR="003A03D3">
        <w:t xml:space="preserve">Brett </w:t>
      </w:r>
      <w:proofErr w:type="spellStart"/>
      <w:r w:rsidR="003A03D3">
        <w:t>Blaauw</w:t>
      </w:r>
      <w:proofErr w:type="spellEnd"/>
      <w:r>
        <w:t xml:space="preserve"> </w:t>
      </w:r>
    </w:p>
    <w:p w:rsidR="00EF5B52" w:rsidRDefault="0037745D" w:rsidP="00EF5B52">
      <w:pPr>
        <w:spacing w:after="0"/>
      </w:pPr>
      <w:r>
        <w:t>Third Place:</w:t>
      </w:r>
      <w:r>
        <w:tab/>
      </w:r>
      <w:r>
        <w:tab/>
      </w:r>
      <w:r w:rsidR="003A03D3">
        <w:t>Brian Little</w:t>
      </w:r>
    </w:p>
    <w:p w:rsidR="00EF5B52" w:rsidRDefault="00EF5B52" w:rsidP="00EF5B52">
      <w:pPr>
        <w:spacing w:after="0"/>
      </w:pPr>
    </w:p>
    <w:p w:rsidR="00EF5B52" w:rsidRDefault="00EF5B52" w:rsidP="00EF5B52">
      <w:pPr>
        <w:spacing w:after="0"/>
      </w:pPr>
    </w:p>
    <w:p w:rsidR="00EF5B52" w:rsidRDefault="00EF5B52" w:rsidP="00EF5B52">
      <w:pPr>
        <w:spacing w:after="0"/>
      </w:pPr>
      <w:r w:rsidRPr="00EF50BE">
        <w:rPr>
          <w:u w:val="single"/>
        </w:rPr>
        <w:t>Microscope Category</w:t>
      </w:r>
      <w:r>
        <w:t>:</w:t>
      </w:r>
    </w:p>
    <w:p w:rsidR="00EF5B52" w:rsidRDefault="00EF5B52" w:rsidP="00EF5B52">
      <w:pPr>
        <w:spacing w:after="0"/>
      </w:pPr>
      <w:r>
        <w:t>First Place:</w:t>
      </w:r>
      <w:r>
        <w:tab/>
      </w:r>
      <w:r>
        <w:tab/>
      </w:r>
      <w:r w:rsidR="00E873E8">
        <w:t>Stacey Vigil</w:t>
      </w:r>
    </w:p>
    <w:p w:rsidR="00EF5B52" w:rsidRDefault="00EF5B52" w:rsidP="00EF5B52">
      <w:pPr>
        <w:spacing w:after="0"/>
      </w:pPr>
    </w:p>
    <w:p w:rsidR="00EF5B52" w:rsidRDefault="00EF5B52" w:rsidP="00EF5B52">
      <w:pPr>
        <w:spacing w:after="0"/>
      </w:pPr>
    </w:p>
    <w:p w:rsidR="00EF5B52" w:rsidRDefault="00EF5B52" w:rsidP="00EF5B52">
      <w:pPr>
        <w:spacing w:after="0"/>
      </w:pPr>
      <w:r w:rsidRPr="00EF50BE">
        <w:rPr>
          <w:u w:val="single"/>
        </w:rPr>
        <w:t>Portrait Category</w:t>
      </w:r>
      <w:r>
        <w:t>:</w:t>
      </w:r>
    </w:p>
    <w:p w:rsidR="00EF5B52" w:rsidRDefault="00EF5B52" w:rsidP="00EF5B52">
      <w:pPr>
        <w:spacing w:after="0"/>
      </w:pPr>
      <w:r>
        <w:t>First Place:</w:t>
      </w:r>
      <w:r>
        <w:tab/>
      </w:r>
      <w:r>
        <w:tab/>
      </w:r>
      <w:r w:rsidR="003A03D3">
        <w:t>Merle Shepard</w:t>
      </w:r>
    </w:p>
    <w:p w:rsidR="00EF5B52" w:rsidRDefault="0037745D" w:rsidP="00EF5B52">
      <w:pPr>
        <w:spacing w:after="0"/>
      </w:pPr>
      <w:r>
        <w:t>Second Place:</w:t>
      </w:r>
      <w:r>
        <w:tab/>
      </w:r>
      <w:r>
        <w:tab/>
      </w:r>
      <w:proofErr w:type="spellStart"/>
      <w:r w:rsidR="003A03D3">
        <w:t>Apurba</w:t>
      </w:r>
      <w:proofErr w:type="spellEnd"/>
      <w:r w:rsidR="003A03D3">
        <w:t xml:space="preserve"> Barman</w:t>
      </w:r>
    </w:p>
    <w:p w:rsidR="00EF5B52" w:rsidRDefault="008422AF" w:rsidP="00EF5B52">
      <w:pPr>
        <w:spacing w:after="0"/>
      </w:pPr>
      <w:r>
        <w:t>Third Place:</w:t>
      </w:r>
      <w:r>
        <w:tab/>
      </w:r>
      <w:r>
        <w:tab/>
      </w:r>
      <w:r w:rsidR="003A03D3">
        <w:t>Merle Shepard</w:t>
      </w:r>
    </w:p>
    <w:p w:rsidR="00EF5B52" w:rsidRDefault="00EF5B52" w:rsidP="00EF5B52">
      <w:pPr>
        <w:spacing w:after="0"/>
      </w:pPr>
    </w:p>
    <w:p w:rsidR="00EF5B52" w:rsidRDefault="00EF5B52" w:rsidP="00EF5B52">
      <w:pPr>
        <w:spacing w:after="0"/>
      </w:pPr>
    </w:p>
    <w:p w:rsidR="00EF5B52" w:rsidRDefault="00EF5B52" w:rsidP="00EF5B52">
      <w:pPr>
        <w:spacing w:after="0"/>
      </w:pPr>
      <w:r w:rsidRPr="00EF50BE">
        <w:rPr>
          <w:u w:val="single"/>
        </w:rPr>
        <w:t>Sequence Category</w:t>
      </w:r>
      <w:r>
        <w:t>:</w:t>
      </w:r>
    </w:p>
    <w:p w:rsidR="00EF5B52" w:rsidRDefault="00EF5B52" w:rsidP="00EF5B52">
      <w:pPr>
        <w:spacing w:after="0"/>
      </w:pPr>
      <w:r>
        <w:t>First Place:</w:t>
      </w:r>
      <w:r>
        <w:tab/>
      </w:r>
      <w:r>
        <w:tab/>
      </w:r>
      <w:r w:rsidR="00E873E8">
        <w:t>Stacey Vigil</w:t>
      </w:r>
    </w:p>
    <w:p w:rsidR="00EF5B52" w:rsidRDefault="00EF5B52" w:rsidP="00EF5B52">
      <w:pPr>
        <w:spacing w:after="0"/>
      </w:pPr>
    </w:p>
    <w:p w:rsidR="00EF5B52" w:rsidRDefault="00EF5B52" w:rsidP="00EF5B52">
      <w:pPr>
        <w:spacing w:after="0"/>
      </w:pPr>
    </w:p>
    <w:p w:rsidR="00EF5B52" w:rsidRDefault="00EF5B52" w:rsidP="00EF5B52">
      <w:pPr>
        <w:spacing w:after="0"/>
      </w:pPr>
      <w:r w:rsidRPr="00EF50BE">
        <w:rPr>
          <w:b/>
        </w:rPr>
        <w:t>Sturgis McKeever Award Best of Show Winner</w:t>
      </w:r>
      <w:r>
        <w:t xml:space="preserve">: </w:t>
      </w:r>
      <w:r>
        <w:tab/>
      </w:r>
      <w:r>
        <w:tab/>
      </w:r>
      <w:r w:rsidR="003A03D3">
        <w:t>Merle Shepard</w:t>
      </w:r>
    </w:p>
    <w:p w:rsidR="00EC221F" w:rsidRDefault="00EC221F" w:rsidP="00EF5B52">
      <w:pPr>
        <w:spacing w:after="0"/>
      </w:pPr>
    </w:p>
    <w:p w:rsidR="00922554" w:rsidRPr="007B737A" w:rsidRDefault="00EC221F" w:rsidP="003A03D3">
      <w:pPr>
        <w:spacing w:after="0"/>
        <w:rPr>
          <w:b/>
          <w:sz w:val="28"/>
          <w:szCs w:val="28"/>
        </w:rPr>
      </w:pPr>
      <w:r>
        <w:rPr>
          <w:b/>
        </w:rPr>
        <w:t>Peoples’ Choice Award:</w:t>
      </w:r>
      <w:r>
        <w:rPr>
          <w:b/>
        </w:rPr>
        <w:tab/>
      </w:r>
      <w:r>
        <w:rPr>
          <w:b/>
        </w:rPr>
        <w:tab/>
      </w:r>
      <w:r>
        <w:rPr>
          <w:b/>
        </w:rPr>
        <w:tab/>
      </w:r>
      <w:r>
        <w:rPr>
          <w:b/>
        </w:rPr>
        <w:tab/>
      </w:r>
      <w:r>
        <w:rPr>
          <w:b/>
        </w:rPr>
        <w:tab/>
      </w:r>
      <w:r w:rsidR="003A03D3">
        <w:t>Merle Shepard</w:t>
      </w:r>
      <w:r w:rsidR="00EF5B52">
        <w:br w:type="page"/>
      </w:r>
    </w:p>
    <w:p w:rsidR="0096181E" w:rsidRPr="0096181E" w:rsidRDefault="0096181E" w:rsidP="0096181E">
      <w:pPr>
        <w:jc w:val="center"/>
        <w:rPr>
          <w:b/>
          <w:sz w:val="24"/>
          <w:szCs w:val="24"/>
        </w:rPr>
      </w:pPr>
    </w:p>
    <w:p w:rsidR="0096181E" w:rsidRPr="0096181E" w:rsidRDefault="0096181E" w:rsidP="0096181E">
      <w:pPr>
        <w:spacing w:after="0" w:line="240" w:lineRule="auto"/>
        <w:jc w:val="center"/>
        <w:rPr>
          <w:rFonts w:ascii="Arial" w:eastAsia="Times New Roman" w:hAnsi="Arial" w:cs="Arial"/>
          <w:sz w:val="76"/>
          <w:szCs w:val="76"/>
        </w:rPr>
      </w:pPr>
    </w:p>
    <w:p w:rsidR="0096181E" w:rsidRPr="0096181E" w:rsidRDefault="0096181E" w:rsidP="0096181E">
      <w:pPr>
        <w:spacing w:after="0" w:line="240" w:lineRule="auto"/>
        <w:jc w:val="center"/>
        <w:rPr>
          <w:rFonts w:ascii="Arial" w:eastAsia="Times New Roman" w:hAnsi="Arial" w:cs="Arial"/>
          <w:sz w:val="76"/>
          <w:szCs w:val="76"/>
        </w:rPr>
      </w:pPr>
    </w:p>
    <w:p w:rsidR="0096181E" w:rsidRPr="0096181E" w:rsidRDefault="0096181E" w:rsidP="0096181E">
      <w:pPr>
        <w:spacing w:after="0" w:line="240" w:lineRule="auto"/>
        <w:jc w:val="center"/>
        <w:rPr>
          <w:rFonts w:ascii="Arial" w:eastAsia="Times New Roman" w:hAnsi="Arial" w:cs="Arial"/>
          <w:sz w:val="76"/>
          <w:szCs w:val="76"/>
        </w:rPr>
      </w:pPr>
    </w:p>
    <w:p w:rsidR="0096181E" w:rsidRPr="0096181E" w:rsidRDefault="0096181E" w:rsidP="0096181E">
      <w:pPr>
        <w:spacing w:after="0" w:line="240" w:lineRule="auto"/>
        <w:jc w:val="center"/>
        <w:rPr>
          <w:rFonts w:ascii="Arial" w:eastAsia="Times New Roman" w:hAnsi="Arial" w:cs="Arial"/>
          <w:sz w:val="76"/>
          <w:szCs w:val="76"/>
        </w:rPr>
      </w:pPr>
    </w:p>
    <w:p w:rsidR="0096181E" w:rsidRPr="0096181E" w:rsidRDefault="0096181E" w:rsidP="0096181E">
      <w:pPr>
        <w:spacing w:after="0" w:line="240" w:lineRule="auto"/>
        <w:jc w:val="center"/>
        <w:rPr>
          <w:rFonts w:ascii="Arial" w:eastAsia="Times New Roman" w:hAnsi="Arial" w:cs="Arial"/>
          <w:sz w:val="76"/>
          <w:szCs w:val="76"/>
        </w:rPr>
      </w:pPr>
    </w:p>
    <w:p w:rsidR="0096181E" w:rsidRPr="0096181E" w:rsidRDefault="0096181E" w:rsidP="0096181E">
      <w:pPr>
        <w:spacing w:after="0" w:line="240" w:lineRule="auto"/>
        <w:jc w:val="center"/>
        <w:rPr>
          <w:rFonts w:ascii="Arial" w:eastAsia="Times New Roman" w:hAnsi="Arial" w:cs="Arial"/>
          <w:sz w:val="76"/>
          <w:szCs w:val="76"/>
        </w:rPr>
      </w:pPr>
      <w:r w:rsidRPr="0096181E">
        <w:rPr>
          <w:rFonts w:ascii="Arial" w:eastAsia="Times New Roman" w:hAnsi="Arial" w:cs="Arial"/>
          <w:sz w:val="76"/>
          <w:szCs w:val="76"/>
        </w:rPr>
        <w:t>Georgia Entomological</w:t>
      </w:r>
    </w:p>
    <w:p w:rsidR="0096181E" w:rsidRPr="0096181E" w:rsidRDefault="0096181E" w:rsidP="0096181E">
      <w:pPr>
        <w:spacing w:after="240" w:line="240" w:lineRule="auto"/>
        <w:jc w:val="center"/>
        <w:rPr>
          <w:rFonts w:ascii="Arial" w:eastAsia="Times New Roman" w:hAnsi="Arial" w:cs="Arial"/>
          <w:sz w:val="76"/>
          <w:szCs w:val="76"/>
        </w:rPr>
      </w:pPr>
      <w:r w:rsidRPr="0096181E">
        <w:rPr>
          <w:rFonts w:ascii="Arial" w:eastAsia="Times New Roman" w:hAnsi="Arial" w:cs="Arial"/>
          <w:noProof/>
          <w:sz w:val="76"/>
          <w:szCs w:val="76"/>
        </w:rPr>
        <mc:AlternateContent>
          <mc:Choice Requires="wps">
            <w:drawing>
              <wp:anchor distT="0" distB="0" distL="114300" distR="114300" simplePos="0" relativeHeight="251659264" behindDoc="0" locked="0" layoutInCell="1" allowOverlap="1" wp14:anchorId="4F2BB0C4" wp14:editId="5A293DDF">
                <wp:simplePos x="0" y="0"/>
                <wp:positionH relativeFrom="column">
                  <wp:posOffset>190500</wp:posOffset>
                </wp:positionH>
                <wp:positionV relativeFrom="paragraph">
                  <wp:posOffset>569595</wp:posOffset>
                </wp:positionV>
                <wp:extent cx="5619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53F99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4.85pt" to="45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" strokecolor="#4a7ebb"/>
            </w:pict>
          </mc:Fallback>
        </mc:AlternateContent>
      </w:r>
      <w:r w:rsidRPr="0096181E">
        <w:rPr>
          <w:rFonts w:ascii="Arial" w:eastAsia="Times New Roman" w:hAnsi="Arial" w:cs="Arial"/>
          <w:sz w:val="76"/>
          <w:szCs w:val="76"/>
        </w:rPr>
        <w:t>Society Arthropod Survey</w:t>
      </w:r>
    </w:p>
    <w:p w:rsidR="0096181E" w:rsidRPr="0096181E" w:rsidRDefault="0096181E" w:rsidP="0096181E">
      <w:pPr>
        <w:spacing w:after="240" w:line="240" w:lineRule="auto"/>
        <w:jc w:val="center"/>
        <w:rPr>
          <w:rFonts w:ascii="Arial" w:eastAsia="Times New Roman" w:hAnsi="Arial" w:cs="Arial"/>
          <w:sz w:val="56"/>
          <w:szCs w:val="56"/>
        </w:rPr>
      </w:pPr>
      <w:r w:rsidRPr="0096181E">
        <w:rPr>
          <w:rFonts w:ascii="Arial" w:eastAsia="Times New Roman" w:hAnsi="Arial" w:cs="Arial"/>
          <w:sz w:val="56"/>
          <w:szCs w:val="56"/>
        </w:rPr>
        <w:t>2017</w:t>
      </w:r>
    </w:p>
    <w:p w:rsidR="0096181E" w:rsidRPr="0096181E" w:rsidRDefault="0096181E" w:rsidP="0096181E">
      <w:pPr>
        <w:rPr>
          <w:b/>
          <w:sz w:val="24"/>
          <w:szCs w:val="24"/>
        </w:rPr>
      </w:pPr>
      <w:r w:rsidRPr="0096181E">
        <w:rPr>
          <w:b/>
          <w:sz w:val="24"/>
          <w:szCs w:val="24"/>
        </w:rPr>
        <w:br w:type="page"/>
      </w:r>
    </w:p>
    <w:p w:rsidR="0096181E" w:rsidRPr="0096181E" w:rsidRDefault="0096181E" w:rsidP="0096181E">
      <w:pPr>
        <w:rPr>
          <w:b/>
          <w:sz w:val="24"/>
          <w:szCs w:val="24"/>
        </w:rPr>
      </w:pPr>
    </w:p>
    <w:p w:rsidR="0096181E" w:rsidRPr="0096181E" w:rsidRDefault="0096181E" w:rsidP="0096181E">
      <w:pPr>
        <w:jc w:val="center"/>
        <w:rPr>
          <w:b/>
          <w:sz w:val="24"/>
          <w:szCs w:val="24"/>
        </w:rPr>
      </w:pPr>
      <w:r w:rsidRPr="0096181E">
        <w:rPr>
          <w:b/>
          <w:sz w:val="24"/>
          <w:szCs w:val="24"/>
        </w:rPr>
        <w:t xml:space="preserve">2017 Georgia Entomological Society </w:t>
      </w:r>
    </w:p>
    <w:p w:rsidR="0096181E" w:rsidRPr="0096181E" w:rsidRDefault="0096181E" w:rsidP="0096181E">
      <w:pPr>
        <w:jc w:val="center"/>
        <w:rPr>
          <w:b/>
          <w:sz w:val="24"/>
          <w:szCs w:val="24"/>
        </w:rPr>
      </w:pPr>
      <w:r w:rsidRPr="0096181E">
        <w:rPr>
          <w:b/>
          <w:sz w:val="24"/>
          <w:szCs w:val="24"/>
        </w:rPr>
        <w:t>Arthropod Survey</w:t>
      </w:r>
    </w:p>
    <w:p w:rsidR="0096181E" w:rsidRPr="0096181E" w:rsidRDefault="0096181E" w:rsidP="0096181E">
      <w:pPr>
        <w:spacing w:after="0" w:line="240" w:lineRule="auto"/>
        <w:rPr>
          <w:b/>
          <w:sz w:val="24"/>
          <w:szCs w:val="24"/>
        </w:rPr>
      </w:pPr>
    </w:p>
    <w:p w:rsidR="0096181E" w:rsidRPr="0096181E" w:rsidRDefault="0096181E" w:rsidP="0096181E">
      <w:pPr>
        <w:tabs>
          <w:tab w:val="right" w:leader="dot" w:pos="9350"/>
        </w:tabs>
        <w:spacing w:after="100"/>
        <w:jc w:val="center"/>
        <w:rPr>
          <w:rFonts w:eastAsiaTheme="minorEastAsia"/>
          <w:b/>
          <w:sz w:val="24"/>
          <w:szCs w:val="24"/>
          <w:lang w:eastAsia="ja-JP"/>
        </w:rPr>
      </w:pPr>
    </w:p>
    <w:p w:rsidR="0096181E" w:rsidRPr="0096181E" w:rsidRDefault="0096181E" w:rsidP="0096181E">
      <w:pPr>
        <w:tabs>
          <w:tab w:val="right" w:leader="dot" w:pos="9350"/>
        </w:tabs>
        <w:spacing w:after="100"/>
        <w:jc w:val="center"/>
        <w:rPr>
          <w:rFonts w:eastAsiaTheme="minorEastAsia"/>
          <w:b/>
          <w:sz w:val="24"/>
          <w:szCs w:val="24"/>
          <w:lang w:eastAsia="ja-JP"/>
        </w:rPr>
      </w:pPr>
      <w:r w:rsidRPr="0096181E">
        <w:rPr>
          <w:rFonts w:eastAsiaTheme="minorEastAsia"/>
          <w:b/>
          <w:sz w:val="24"/>
          <w:szCs w:val="24"/>
          <w:lang w:eastAsia="ja-JP"/>
        </w:rPr>
        <w:t>CONTENTS</w:t>
      </w:r>
    </w:p>
    <w:p w:rsidR="0096181E" w:rsidRPr="0096181E" w:rsidRDefault="0096181E" w:rsidP="0096181E">
      <w:pPr>
        <w:rPr>
          <w:sz w:val="24"/>
          <w:szCs w:val="24"/>
          <w:lang w:eastAsia="ja-JP"/>
        </w:rPr>
      </w:pPr>
      <w:r w:rsidRPr="0096181E">
        <w:rPr>
          <w:sz w:val="24"/>
          <w:szCs w:val="24"/>
          <w:lang w:eastAsia="ja-JP"/>
        </w:rPr>
        <w:t>Commodity</w:t>
      </w:r>
      <w:r w:rsidRPr="0096181E">
        <w:rPr>
          <w:sz w:val="24"/>
          <w:szCs w:val="24"/>
          <w:lang w:eastAsia="ja-JP"/>
        </w:rPr>
        <w:tab/>
        <w:t xml:space="preserve">    </w:t>
      </w:r>
      <w:r w:rsidRPr="0096181E">
        <w:rPr>
          <w:sz w:val="24"/>
          <w:szCs w:val="24"/>
          <w:lang w:eastAsia="ja-JP"/>
        </w:rPr>
        <w:tab/>
      </w:r>
      <w:r w:rsidRPr="0096181E">
        <w:rPr>
          <w:sz w:val="24"/>
          <w:szCs w:val="24"/>
          <w:lang w:eastAsia="ja-JP"/>
        </w:rPr>
        <w:tab/>
      </w:r>
      <w:r w:rsidRPr="0096181E">
        <w:rPr>
          <w:sz w:val="24"/>
          <w:szCs w:val="24"/>
          <w:lang w:eastAsia="ja-JP"/>
        </w:rPr>
        <w:tab/>
      </w:r>
      <w:r w:rsidRPr="0096181E">
        <w:rPr>
          <w:sz w:val="24"/>
          <w:szCs w:val="24"/>
          <w:lang w:eastAsia="ja-JP"/>
        </w:rPr>
        <w:tab/>
      </w:r>
      <w:r w:rsidRPr="0096181E">
        <w:rPr>
          <w:sz w:val="24"/>
          <w:szCs w:val="24"/>
          <w:lang w:eastAsia="ja-JP"/>
        </w:rPr>
        <w:tab/>
      </w:r>
      <w:r w:rsidRPr="0096181E">
        <w:rPr>
          <w:sz w:val="24"/>
          <w:szCs w:val="24"/>
          <w:lang w:eastAsia="ja-JP"/>
        </w:rPr>
        <w:tab/>
      </w:r>
      <w:r w:rsidRPr="0096181E">
        <w:rPr>
          <w:sz w:val="24"/>
          <w:szCs w:val="24"/>
          <w:lang w:eastAsia="ja-JP"/>
        </w:rPr>
        <w:tab/>
      </w:r>
      <w:r w:rsidRPr="0096181E">
        <w:rPr>
          <w:sz w:val="24"/>
          <w:szCs w:val="24"/>
          <w:lang w:eastAsia="ja-JP"/>
        </w:rPr>
        <w:tab/>
      </w:r>
      <w:r w:rsidRPr="0096181E">
        <w:rPr>
          <w:sz w:val="24"/>
          <w:szCs w:val="24"/>
          <w:lang w:eastAsia="ja-JP"/>
        </w:rPr>
        <w:tab/>
        <w:t xml:space="preserve">                 Page</w:t>
      </w:r>
    </w:p>
    <w:p w:rsidR="0096181E" w:rsidRPr="0096181E" w:rsidRDefault="0096181E" w:rsidP="0096181E">
      <w:pPr>
        <w:tabs>
          <w:tab w:val="right" w:leader="dot" w:pos="9350"/>
        </w:tabs>
        <w:spacing w:after="100"/>
        <w:jc w:val="center"/>
        <w:rPr>
          <w:rFonts w:eastAsiaTheme="minorEastAsia"/>
          <w:noProof/>
        </w:rPr>
      </w:pPr>
      <w:r w:rsidRPr="0096181E">
        <w:rPr>
          <w:rFonts w:eastAsiaTheme="minorEastAsia"/>
          <w:sz w:val="24"/>
          <w:szCs w:val="24"/>
          <w:lang w:eastAsia="ja-JP"/>
        </w:rPr>
        <w:fldChar w:fldCharType="begin"/>
      </w:r>
      <w:r w:rsidRPr="0096181E">
        <w:rPr>
          <w:rFonts w:eastAsiaTheme="minorEastAsia"/>
          <w:sz w:val="24"/>
          <w:szCs w:val="24"/>
          <w:lang w:eastAsia="ja-JP"/>
        </w:rPr>
        <w:instrText xml:space="preserve"> TOC \o "1-3" \h \z \u </w:instrText>
      </w:r>
      <w:r w:rsidRPr="0096181E">
        <w:rPr>
          <w:rFonts w:eastAsiaTheme="minorEastAsia"/>
          <w:sz w:val="24"/>
          <w:szCs w:val="24"/>
          <w:lang w:eastAsia="ja-JP"/>
        </w:rPr>
        <w:fldChar w:fldCharType="separate"/>
      </w:r>
      <w:hyperlink w:anchor="_Toc509838112" w:history="1">
        <w:r w:rsidRPr="0096181E">
          <w:rPr>
            <w:rFonts w:eastAsiaTheme="minorEastAsia"/>
            <w:b/>
            <w:noProof/>
            <w:color w:val="0000FF" w:themeColor="hyperlink"/>
            <w:u w:val="single"/>
            <w:lang w:eastAsia="ja-JP"/>
          </w:rPr>
          <w:t>Apple</w:t>
        </w:r>
        <w:r w:rsidRPr="0096181E">
          <w:rPr>
            <w:rFonts w:eastAsiaTheme="minorEastAsia"/>
            <w:b/>
            <w:noProof/>
            <w:webHidden/>
            <w:lang w:eastAsia="ja-JP"/>
          </w:rPr>
          <w:tab/>
        </w:r>
        <w:r w:rsidRPr="0096181E">
          <w:rPr>
            <w:rFonts w:eastAsiaTheme="minorEastAsia"/>
            <w:b/>
            <w:noProof/>
            <w:webHidden/>
            <w:lang w:eastAsia="ja-JP"/>
          </w:rPr>
          <w:fldChar w:fldCharType="begin"/>
        </w:r>
        <w:r w:rsidRPr="0096181E">
          <w:rPr>
            <w:rFonts w:eastAsiaTheme="minorEastAsia"/>
            <w:b/>
            <w:noProof/>
            <w:webHidden/>
            <w:lang w:eastAsia="ja-JP"/>
          </w:rPr>
          <w:instrText xml:space="preserve"> PAGEREF _Toc509838112 \h </w:instrText>
        </w:r>
        <w:r w:rsidRPr="0096181E">
          <w:rPr>
            <w:rFonts w:eastAsiaTheme="minorEastAsia"/>
            <w:b/>
            <w:noProof/>
            <w:webHidden/>
            <w:lang w:eastAsia="ja-JP"/>
          </w:rPr>
        </w:r>
        <w:r w:rsidRPr="0096181E">
          <w:rPr>
            <w:rFonts w:eastAsiaTheme="minorEastAsia"/>
            <w:b/>
            <w:noProof/>
            <w:webHidden/>
            <w:lang w:eastAsia="ja-JP"/>
          </w:rPr>
          <w:fldChar w:fldCharType="separate"/>
        </w:r>
        <w:r w:rsidR="00150CD8">
          <w:rPr>
            <w:rFonts w:eastAsiaTheme="minorEastAsia"/>
            <w:b/>
            <w:noProof/>
            <w:webHidden/>
            <w:lang w:eastAsia="ja-JP"/>
          </w:rPr>
          <w:t>14</w:t>
        </w:r>
        <w:r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13" w:history="1">
        <w:r w:rsidR="0096181E" w:rsidRPr="0096181E">
          <w:rPr>
            <w:rFonts w:eastAsiaTheme="minorEastAsia"/>
            <w:b/>
            <w:noProof/>
            <w:color w:val="0000FF" w:themeColor="hyperlink"/>
            <w:u w:val="single"/>
            <w:lang w:eastAsia="ja-JP"/>
          </w:rPr>
          <w:t>Blueberry</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_Toc509838113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14</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14" w:history="1">
        <w:r w:rsidR="0096181E" w:rsidRPr="0096181E">
          <w:rPr>
            <w:rFonts w:eastAsiaTheme="minorEastAsia"/>
            <w:b/>
            <w:noProof/>
            <w:color w:val="0000FF" w:themeColor="hyperlink"/>
            <w:u w:val="single"/>
            <w:lang w:eastAsia="ja-JP"/>
          </w:rPr>
          <w:t>Corn</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_Toc509838114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15</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15" w:history="1">
        <w:r w:rsidR="0096181E" w:rsidRPr="0096181E">
          <w:rPr>
            <w:rFonts w:eastAsiaTheme="minorEastAsia"/>
            <w:b/>
            <w:noProof/>
            <w:color w:val="0000FF" w:themeColor="hyperlink"/>
            <w:u w:val="single"/>
            <w:lang w:eastAsia="ja-JP"/>
          </w:rPr>
          <w:t>Cotton</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_Toc509838115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15</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16" w:history="1">
        <w:r w:rsidR="0096181E" w:rsidRPr="0096181E">
          <w:rPr>
            <w:rFonts w:eastAsiaTheme="minorEastAsia"/>
            <w:b/>
            <w:noProof/>
            <w:color w:val="0000FF" w:themeColor="hyperlink"/>
            <w:u w:val="single"/>
            <w:lang w:eastAsia="ja-JP"/>
          </w:rPr>
          <w:t>Forestry</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_Toc509838116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16</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17" w:history="1">
        <w:r w:rsidR="0096181E" w:rsidRPr="0096181E">
          <w:rPr>
            <w:rFonts w:eastAsiaTheme="minorEastAsia"/>
            <w:b/>
            <w:noProof/>
            <w:color w:val="0000FF" w:themeColor="hyperlink"/>
            <w:u w:val="single"/>
            <w:lang w:eastAsia="ja-JP"/>
          </w:rPr>
          <w:t>Livestock, Poultry, and Pets</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_Toc509838117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17</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18" w:history="1">
        <w:r w:rsidR="0096181E" w:rsidRPr="0096181E">
          <w:rPr>
            <w:rFonts w:eastAsiaTheme="minorEastAsia"/>
            <w:b/>
            <w:noProof/>
            <w:color w:val="0000FF" w:themeColor="hyperlink"/>
            <w:u w:val="single"/>
            <w:lang w:eastAsia="ja-JP"/>
          </w:rPr>
          <w:t>Peach</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_Toc509838118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19</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19" w:history="1">
        <w:r w:rsidR="0096181E" w:rsidRPr="0096181E">
          <w:rPr>
            <w:rFonts w:eastAsiaTheme="minorEastAsia"/>
            <w:b/>
            <w:noProof/>
            <w:color w:val="0000FF" w:themeColor="hyperlink"/>
            <w:u w:val="single"/>
            <w:lang w:eastAsia="ja-JP"/>
          </w:rPr>
          <w:t>Peanut</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_Toc509838119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20</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20" w:history="1">
        <w:r w:rsidR="0096181E" w:rsidRPr="0096181E">
          <w:rPr>
            <w:rFonts w:eastAsiaTheme="minorEastAsia"/>
            <w:b/>
            <w:noProof/>
            <w:color w:val="0000FF" w:themeColor="hyperlink"/>
            <w:u w:val="single"/>
            <w:lang w:eastAsia="ja-JP"/>
          </w:rPr>
          <w:t>Pecan</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_Toc509838120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20</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21" w:history="1">
        <w:r w:rsidR="0096181E" w:rsidRPr="0096181E">
          <w:rPr>
            <w:rFonts w:eastAsiaTheme="minorEastAsia"/>
            <w:b/>
            <w:noProof/>
            <w:color w:val="0000FF" w:themeColor="hyperlink"/>
            <w:u w:val="single"/>
            <w:lang w:eastAsia="ja-JP"/>
          </w:rPr>
          <w:t>Sorghum</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_Toc509838121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21</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22" w:history="1">
        <w:r w:rsidR="0096181E" w:rsidRPr="0096181E">
          <w:rPr>
            <w:rFonts w:eastAsiaTheme="minorEastAsia"/>
            <w:b/>
            <w:noProof/>
            <w:color w:val="0000FF" w:themeColor="hyperlink"/>
            <w:u w:val="single"/>
            <w:lang w:eastAsia="ja-JP"/>
          </w:rPr>
          <w:t>Soybean</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_Toc509838122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21</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23" w:history="1">
        <w:r w:rsidR="0096181E" w:rsidRPr="0096181E">
          <w:rPr>
            <w:rFonts w:eastAsiaTheme="minorEastAsia"/>
            <w:b/>
            <w:noProof/>
            <w:color w:val="0000FF" w:themeColor="hyperlink"/>
            <w:u w:val="single"/>
            <w:lang w:eastAsia="ja-JP"/>
          </w:rPr>
          <w:t>Urban and Structural</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_Toc509838123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21</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24" w:history="1">
        <w:r w:rsidR="0096181E" w:rsidRPr="0096181E">
          <w:rPr>
            <w:rFonts w:eastAsiaTheme="minorEastAsia"/>
            <w:b/>
            <w:noProof/>
            <w:color w:val="0000FF" w:themeColor="hyperlink"/>
            <w:u w:val="single"/>
            <w:lang w:eastAsia="ja-JP"/>
          </w:rPr>
          <w:t>Vegetables</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_Toc509838124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22</w:t>
        </w:r>
        <w:r w:rsidR="0096181E" w:rsidRPr="0096181E">
          <w:rPr>
            <w:rFonts w:eastAsiaTheme="minorEastAsia"/>
            <w:b/>
            <w:noProof/>
            <w:webHidden/>
            <w:lang w:eastAsia="ja-JP"/>
          </w:rPr>
          <w:fldChar w:fldCharType="end"/>
        </w:r>
      </w:hyperlink>
    </w:p>
    <w:p w:rsidR="0096181E" w:rsidRPr="0096181E" w:rsidRDefault="00150CD8" w:rsidP="0096181E">
      <w:pPr>
        <w:tabs>
          <w:tab w:val="right" w:leader="dot" w:pos="9350"/>
        </w:tabs>
        <w:spacing w:after="100"/>
        <w:jc w:val="center"/>
        <w:rPr>
          <w:rFonts w:eastAsiaTheme="minorEastAsia"/>
          <w:noProof/>
        </w:rPr>
      </w:pPr>
      <w:hyperlink w:anchor="_Toc509838125" w:history="1">
        <w:r w:rsidR="0096181E" w:rsidRPr="0096181E">
          <w:rPr>
            <w:rFonts w:eastAsiaTheme="minorEastAsia"/>
            <w:b/>
            <w:noProof/>
            <w:color w:val="0000FF" w:themeColor="hyperlink"/>
            <w:u w:val="single"/>
            <w:lang w:eastAsia="ja-JP"/>
          </w:rPr>
          <w:t>Wheat</w:t>
        </w:r>
        <w:r w:rsidR="0096181E" w:rsidRPr="0096181E">
          <w:rPr>
            <w:rFonts w:eastAsiaTheme="minorEastAsia"/>
            <w:b/>
            <w:noProof/>
            <w:webHidden/>
            <w:lang w:eastAsia="ja-JP"/>
          </w:rPr>
          <w:tab/>
        </w:r>
        <w:r w:rsidR="0096181E" w:rsidRPr="0096181E">
          <w:rPr>
            <w:rFonts w:eastAsiaTheme="minorEastAsia"/>
            <w:b/>
            <w:noProof/>
            <w:webHidden/>
            <w:lang w:eastAsia="ja-JP"/>
          </w:rPr>
          <w:fldChar w:fldCharType="begin"/>
        </w:r>
        <w:r w:rsidR="0096181E" w:rsidRPr="0096181E">
          <w:rPr>
            <w:rFonts w:eastAsiaTheme="minorEastAsia"/>
            <w:b/>
            <w:noProof/>
            <w:webHidden/>
            <w:lang w:eastAsia="ja-JP"/>
          </w:rPr>
          <w:instrText xml:space="preserve"> PAGEREF _Toc509838125 \h </w:instrText>
        </w:r>
        <w:r w:rsidR="0096181E" w:rsidRPr="0096181E">
          <w:rPr>
            <w:rFonts w:eastAsiaTheme="minorEastAsia"/>
            <w:b/>
            <w:noProof/>
            <w:webHidden/>
            <w:lang w:eastAsia="ja-JP"/>
          </w:rPr>
        </w:r>
        <w:r w:rsidR="0096181E" w:rsidRPr="0096181E">
          <w:rPr>
            <w:rFonts w:eastAsiaTheme="minorEastAsia"/>
            <w:b/>
            <w:noProof/>
            <w:webHidden/>
            <w:lang w:eastAsia="ja-JP"/>
          </w:rPr>
          <w:fldChar w:fldCharType="separate"/>
        </w:r>
        <w:r>
          <w:rPr>
            <w:rFonts w:eastAsiaTheme="minorEastAsia"/>
            <w:b/>
            <w:noProof/>
            <w:webHidden/>
            <w:lang w:eastAsia="ja-JP"/>
          </w:rPr>
          <w:t>24</w:t>
        </w:r>
        <w:r w:rsidR="0096181E" w:rsidRPr="0096181E">
          <w:rPr>
            <w:rFonts w:eastAsiaTheme="minorEastAsia"/>
            <w:b/>
            <w:noProof/>
            <w:webHidden/>
            <w:lang w:eastAsia="ja-JP"/>
          </w:rPr>
          <w:fldChar w:fldCharType="end"/>
        </w:r>
      </w:hyperlink>
    </w:p>
    <w:p w:rsidR="0096181E" w:rsidRPr="0096181E" w:rsidRDefault="0096181E" w:rsidP="0096181E">
      <w:pPr>
        <w:spacing w:after="0" w:line="240" w:lineRule="auto"/>
        <w:rPr>
          <w:b/>
        </w:rPr>
      </w:pPr>
      <w:r w:rsidRPr="0096181E">
        <w:rPr>
          <w:sz w:val="24"/>
          <w:szCs w:val="24"/>
        </w:rPr>
        <w:fldChar w:fldCharType="end"/>
      </w:r>
    </w:p>
    <w:p w:rsidR="0096181E" w:rsidRPr="0096181E" w:rsidRDefault="0096181E" w:rsidP="0096181E">
      <w:pPr>
        <w:spacing w:after="0" w:line="240" w:lineRule="auto"/>
        <w:rPr>
          <w:b/>
        </w:rPr>
      </w:pPr>
    </w:p>
    <w:p w:rsidR="0096181E" w:rsidRPr="0096181E" w:rsidRDefault="0096181E" w:rsidP="0096181E">
      <w:r w:rsidRPr="0096181E">
        <w:rPr>
          <w:b/>
        </w:rPr>
        <w:t xml:space="preserve">Contributors: </w:t>
      </w:r>
      <w:r w:rsidRPr="0096181E">
        <w:t xml:space="preserve">Mark Abney (peanut), Elizabeth Benton (forestry), G. David Buntin (corn, sorghum, wheat), Nancy Hinkle (livestock, poultry and pets), Brett </w:t>
      </w:r>
      <w:proofErr w:type="spellStart"/>
      <w:r w:rsidRPr="0096181E">
        <w:t>Blaauw</w:t>
      </w:r>
      <w:proofErr w:type="spellEnd"/>
      <w:r w:rsidRPr="0096181E">
        <w:t xml:space="preserve"> (apple, peach), David Riley (vegetables), Phillip Roberts (cotton, soybean), Ash </w:t>
      </w:r>
      <w:proofErr w:type="spellStart"/>
      <w:r w:rsidRPr="0096181E">
        <w:t>Sial</w:t>
      </w:r>
      <w:proofErr w:type="spellEnd"/>
      <w:r w:rsidRPr="0096181E">
        <w:t xml:space="preserve"> (blueberry), Alton Sparks (vegetables), Daniel Suiter (urban and structural)</w:t>
      </w:r>
    </w:p>
    <w:p w:rsidR="0096181E" w:rsidRPr="0096181E" w:rsidRDefault="0096181E" w:rsidP="0096181E">
      <w:pPr>
        <w:spacing w:after="0" w:line="240" w:lineRule="auto"/>
        <w:rPr>
          <w:b/>
        </w:rPr>
        <w:sectPr w:rsidR="0096181E" w:rsidRPr="0096181E" w:rsidSect="00DC653F">
          <w:pgSz w:w="12240" w:h="15840"/>
          <w:pgMar w:top="1440" w:right="1440" w:bottom="1440" w:left="1440" w:header="720" w:footer="720" w:gutter="0"/>
          <w:pgNumType w:fmt="lowerRoman"/>
          <w:cols w:space="720"/>
          <w:docGrid w:linePitch="360"/>
        </w:sectPr>
      </w:pPr>
    </w:p>
    <w:p w:rsidR="0096181E" w:rsidRPr="0096181E" w:rsidRDefault="0096181E" w:rsidP="0096181E">
      <w:pPr>
        <w:spacing w:after="0" w:line="240" w:lineRule="auto"/>
        <w:outlineLvl w:val="0"/>
        <w:rPr>
          <w:b/>
        </w:rPr>
      </w:pPr>
      <w:bookmarkStart w:id="1" w:name="_Toc509838112"/>
      <w:r w:rsidRPr="0096181E">
        <w:rPr>
          <w:b/>
        </w:rPr>
        <w:lastRenderedPageBreak/>
        <w:t>Apple</w:t>
      </w:r>
      <w:bookmarkEnd w:id="1"/>
    </w:p>
    <w:p w:rsidR="0096181E" w:rsidRPr="0096181E" w:rsidRDefault="0096181E" w:rsidP="0096181E">
      <w:r w:rsidRPr="0096181E">
        <w:t>Apple insect and mite IPM in GA has been and continues to be quite stable. Resistance problems with codling moth (</w:t>
      </w:r>
      <w:proofErr w:type="spellStart"/>
      <w:r w:rsidRPr="0096181E">
        <w:rPr>
          <w:i/>
        </w:rPr>
        <w:t>Cydia</w:t>
      </w:r>
      <w:proofErr w:type="spellEnd"/>
      <w:r w:rsidRPr="0096181E">
        <w:rPr>
          <w:i/>
        </w:rPr>
        <w:t xml:space="preserve"> </w:t>
      </w:r>
      <w:proofErr w:type="spellStart"/>
      <w:r w:rsidRPr="0096181E">
        <w:rPr>
          <w:i/>
        </w:rPr>
        <w:t>pomonella</w:t>
      </w:r>
      <w:proofErr w:type="spellEnd"/>
      <w:r w:rsidRPr="0096181E">
        <w:t>) and Oriental fruit moth (</w:t>
      </w:r>
      <w:proofErr w:type="spellStart"/>
      <w:r w:rsidRPr="0096181E">
        <w:rPr>
          <w:i/>
        </w:rPr>
        <w:t>Grapholita</w:t>
      </w:r>
      <w:proofErr w:type="spellEnd"/>
      <w:r w:rsidRPr="0096181E">
        <w:rPr>
          <w:i/>
        </w:rPr>
        <w:t xml:space="preserve"> </w:t>
      </w:r>
      <w:proofErr w:type="spellStart"/>
      <w:r w:rsidRPr="0096181E">
        <w:rPr>
          <w:i/>
        </w:rPr>
        <w:t>molesta</w:t>
      </w:r>
      <w:proofErr w:type="spellEnd"/>
      <w:r w:rsidRPr="0096181E">
        <w:t xml:space="preserve">), both key fruit-attacking pests, are evident but continue to </w:t>
      </w:r>
      <w:proofErr w:type="gramStart"/>
      <w:r w:rsidRPr="0096181E">
        <w:t>be seen</w:t>
      </w:r>
      <w:proofErr w:type="gramEnd"/>
      <w:r w:rsidRPr="0096181E">
        <w:t xml:space="preserve"> as slowly unfolding, farm-specific processes. In most GA apple orchards insecticide applications timed by temperature-driven developmental models still provide excellent control of coddling moth, Oriental fruit moth, and tufted apple </w:t>
      </w:r>
      <w:proofErr w:type="spellStart"/>
      <w:r w:rsidRPr="0096181E">
        <w:t>budmoth</w:t>
      </w:r>
      <w:proofErr w:type="spellEnd"/>
      <w:r w:rsidRPr="0096181E">
        <w:t xml:space="preserve"> (</w:t>
      </w:r>
      <w:proofErr w:type="spellStart"/>
      <w:r w:rsidRPr="0096181E">
        <w:rPr>
          <w:i/>
        </w:rPr>
        <w:t>Platynota</w:t>
      </w:r>
      <w:proofErr w:type="spellEnd"/>
      <w:r w:rsidRPr="0096181E">
        <w:rPr>
          <w:i/>
        </w:rPr>
        <w:t xml:space="preserve"> </w:t>
      </w:r>
      <w:proofErr w:type="spellStart"/>
      <w:r w:rsidRPr="0096181E">
        <w:rPr>
          <w:i/>
        </w:rPr>
        <w:t>idaeusalis</w:t>
      </w:r>
      <w:proofErr w:type="spellEnd"/>
      <w:r w:rsidRPr="0096181E">
        <w:t>) our key complex of fruit feeding lepidopterans. That said</w:t>
      </w:r>
      <w:proofErr w:type="gramStart"/>
      <w:r w:rsidRPr="0096181E">
        <w:t>,</w:t>
      </w:r>
      <w:proofErr w:type="gramEnd"/>
      <w:r w:rsidRPr="0096181E">
        <w:t xml:space="preserve"> significant GA apple acreage exhibits signs of resistance to </w:t>
      </w:r>
      <w:proofErr w:type="spellStart"/>
      <w:r w:rsidRPr="0096181E">
        <w:t>phosmet</w:t>
      </w:r>
      <w:proofErr w:type="spellEnd"/>
      <w:r w:rsidRPr="0096181E">
        <w:t xml:space="preserve"> (</w:t>
      </w:r>
      <w:proofErr w:type="spellStart"/>
      <w:r w:rsidRPr="0096181E">
        <w:t>Imidan</w:t>
      </w:r>
      <w:proofErr w:type="spellEnd"/>
      <w:r w:rsidRPr="0096181E">
        <w:t xml:space="preserve">), </w:t>
      </w:r>
      <w:proofErr w:type="spellStart"/>
      <w:r w:rsidRPr="0096181E">
        <w:t>methoxyfenozide</w:t>
      </w:r>
      <w:proofErr w:type="spellEnd"/>
      <w:r w:rsidRPr="0096181E">
        <w:t xml:space="preserve"> (Intrepid) and/or </w:t>
      </w:r>
      <w:proofErr w:type="spellStart"/>
      <w:r w:rsidRPr="0096181E">
        <w:t>novaluron</w:t>
      </w:r>
      <w:proofErr w:type="spellEnd"/>
      <w:r w:rsidRPr="0096181E">
        <w:t xml:space="preserve"> (</w:t>
      </w:r>
      <w:proofErr w:type="spellStart"/>
      <w:r w:rsidRPr="0096181E">
        <w:t>Rimon</w:t>
      </w:r>
      <w:proofErr w:type="spellEnd"/>
      <w:r w:rsidRPr="0096181E">
        <w:t xml:space="preserve">). </w:t>
      </w:r>
      <w:proofErr w:type="gramStart"/>
      <w:r w:rsidRPr="0096181E">
        <w:t>Fortunately</w:t>
      </w:r>
      <w:proofErr w:type="gramEnd"/>
      <w:r w:rsidRPr="0096181E">
        <w:t xml:space="preserve"> orchards experiencing declining insecticide performance have gotten good to excellent codling moth and Oriental fruit moth control with </w:t>
      </w:r>
      <w:proofErr w:type="spellStart"/>
      <w:r w:rsidRPr="0096181E">
        <w:t>pheromonal</w:t>
      </w:r>
      <w:proofErr w:type="spellEnd"/>
      <w:r w:rsidRPr="0096181E">
        <w:t xml:space="preserve"> mating disruption.</w:t>
      </w:r>
    </w:p>
    <w:p w:rsidR="0096181E" w:rsidRPr="0096181E" w:rsidRDefault="0096181E" w:rsidP="0096181E">
      <w:r w:rsidRPr="0096181E">
        <w:t xml:space="preserve">A potential new pest(s) for the region is a complex of ambrosia beetles (subfamily </w:t>
      </w:r>
      <w:proofErr w:type="spellStart"/>
      <w:r w:rsidRPr="0096181E">
        <w:t>Scolytinae</w:t>
      </w:r>
      <w:proofErr w:type="spellEnd"/>
      <w:r w:rsidRPr="0096181E">
        <w:t xml:space="preserve">). These small beetles excavate tunnels in stressed trees and inoculate the bored-out galleries with a fungus. The resulting injury, fungal infection, and secondary infections can rapidly kill trees. Such injury </w:t>
      </w:r>
      <w:proofErr w:type="gramStart"/>
      <w:r w:rsidRPr="0096181E">
        <w:t>was observed</w:t>
      </w:r>
      <w:proofErr w:type="gramEnd"/>
      <w:r w:rsidRPr="0096181E">
        <w:t xml:space="preserve"> at a few north Georgia orchards in 2017, and incidence will be monitored in 2018. Management for these beetles is minimally effective and relies on trunk sprays with </w:t>
      </w:r>
      <w:proofErr w:type="spellStart"/>
      <w:r w:rsidRPr="0096181E">
        <w:t>chlorpyrifos</w:t>
      </w:r>
      <w:proofErr w:type="spellEnd"/>
      <w:r w:rsidRPr="0096181E">
        <w:t>, painting trunks with diluted white latex paint, and/or removal of already infested trees, but keeping trees healthy and happy is really our best strategy.</w:t>
      </w:r>
    </w:p>
    <w:p w:rsidR="0096181E" w:rsidRPr="0096181E" w:rsidRDefault="0096181E" w:rsidP="0096181E">
      <w:r w:rsidRPr="0096181E">
        <w:t xml:space="preserve">The relatively new invasive brown </w:t>
      </w:r>
      <w:proofErr w:type="spellStart"/>
      <w:r w:rsidRPr="0096181E">
        <w:t>marmorated</w:t>
      </w:r>
      <w:proofErr w:type="spellEnd"/>
      <w:r w:rsidRPr="0096181E">
        <w:t xml:space="preserve"> </w:t>
      </w:r>
      <w:proofErr w:type="gramStart"/>
      <w:r w:rsidRPr="0096181E">
        <w:t>stink bug</w:t>
      </w:r>
      <w:proofErr w:type="gramEnd"/>
      <w:r w:rsidRPr="0096181E">
        <w:t xml:space="preserve"> (</w:t>
      </w:r>
      <w:proofErr w:type="spellStart"/>
      <w:r w:rsidRPr="0096181E">
        <w:rPr>
          <w:i/>
        </w:rPr>
        <w:t>Halyomorpha</w:t>
      </w:r>
      <w:proofErr w:type="spellEnd"/>
      <w:r w:rsidRPr="0096181E">
        <w:rPr>
          <w:i/>
        </w:rPr>
        <w:t xml:space="preserve"> </w:t>
      </w:r>
      <w:proofErr w:type="spellStart"/>
      <w:r w:rsidRPr="0096181E">
        <w:rPr>
          <w:i/>
        </w:rPr>
        <w:t>halys</w:t>
      </w:r>
      <w:proofErr w:type="spellEnd"/>
      <w:r w:rsidRPr="0096181E">
        <w:t>) is readily observed in GA’s mountain counties, but to date has not been a significant pest in northern apple or peach production.</w:t>
      </w:r>
    </w:p>
    <w:p w:rsidR="0096181E" w:rsidRPr="0096181E" w:rsidRDefault="0096181E" w:rsidP="0096181E">
      <w:pPr>
        <w:spacing w:after="0" w:line="240" w:lineRule="auto"/>
        <w:outlineLvl w:val="0"/>
        <w:rPr>
          <w:b/>
        </w:rPr>
      </w:pPr>
      <w:bookmarkStart w:id="2" w:name="_Toc509838113"/>
      <w:r w:rsidRPr="0096181E">
        <w:rPr>
          <w:b/>
        </w:rPr>
        <w:t>Blueberry</w:t>
      </w:r>
      <w:bookmarkEnd w:id="2"/>
    </w:p>
    <w:p w:rsidR="0096181E" w:rsidRPr="0096181E" w:rsidRDefault="0096181E" w:rsidP="0096181E">
      <w:r w:rsidRPr="0096181E">
        <w:t xml:space="preserve">Spotted wing drosophila (SWD) remains the key pest of blueberries in Georgia. Although trap captures were similar to previous years, overall impact of SWD was less noticeable in 2017 because 70-80% of the blueberry blooms </w:t>
      </w:r>
      <w:proofErr w:type="gramStart"/>
      <w:r w:rsidRPr="0096181E">
        <w:t>were killed</w:t>
      </w:r>
      <w:proofErr w:type="gramEnd"/>
      <w:r w:rsidRPr="0096181E">
        <w:t xml:space="preserve"> due to frost events in March and the harvest was much smaller.  However, in the frost protected blueberry fields, growers were able </w:t>
      </w:r>
      <w:proofErr w:type="gramStart"/>
      <w:r w:rsidRPr="0096181E">
        <w:t>to proactively implement</w:t>
      </w:r>
      <w:proofErr w:type="gramEnd"/>
      <w:r w:rsidRPr="0096181E">
        <w:t xml:space="preserve"> SWD management strategies recommended by UGA Blueberry Entomology program. Consequently, crop losses due to SWD infestations were very low and no major fruit rejections </w:t>
      </w:r>
      <w:proofErr w:type="gramStart"/>
      <w:r w:rsidRPr="0096181E">
        <w:t>were reported</w:t>
      </w:r>
      <w:proofErr w:type="gramEnd"/>
      <w:r w:rsidRPr="0096181E">
        <w:t xml:space="preserve"> at the packing lines. Overall, SWD management costs ranged from $100-150 per acre.  </w:t>
      </w:r>
    </w:p>
    <w:p w:rsidR="0096181E" w:rsidRPr="0096181E" w:rsidRDefault="0096181E" w:rsidP="0096181E">
      <w:r w:rsidRPr="0096181E">
        <w:t xml:space="preserve">Over the last couple of years, we have seen a significant increase in secondary pest problems likely due to multiple applications of broad-spectrum insecticides (OPs and </w:t>
      </w:r>
      <w:proofErr w:type="spellStart"/>
      <w:r w:rsidRPr="0096181E">
        <w:t>pyrethroids</w:t>
      </w:r>
      <w:proofErr w:type="spellEnd"/>
      <w:r w:rsidRPr="0096181E">
        <w:t xml:space="preserve">) to control SWD. During 2017, gall midge, </w:t>
      </w:r>
      <w:proofErr w:type="spellStart"/>
      <w:r w:rsidRPr="0096181E">
        <w:t>thrips</w:t>
      </w:r>
      <w:proofErr w:type="spellEnd"/>
      <w:r w:rsidRPr="0096181E">
        <w:t xml:space="preserve">, and scales </w:t>
      </w:r>
      <w:proofErr w:type="gramStart"/>
      <w:r w:rsidRPr="0096181E">
        <w:t>were reported</w:t>
      </w:r>
      <w:proofErr w:type="gramEnd"/>
      <w:r w:rsidRPr="0096181E">
        <w:t xml:space="preserve"> to be the major concerns. Other insect pests reported during 2017 included bud mites, cherry fruit worm, cranberry fruit worm, leafhoppers, bearberry whiteflies, and ground pearls. In 2017, </w:t>
      </w:r>
      <w:proofErr w:type="spellStart"/>
      <w:r w:rsidRPr="0096181E">
        <w:t>chilli</w:t>
      </w:r>
      <w:proofErr w:type="spellEnd"/>
      <w:r w:rsidRPr="0096181E">
        <w:t xml:space="preserve"> </w:t>
      </w:r>
      <w:proofErr w:type="spellStart"/>
      <w:r w:rsidRPr="0096181E">
        <w:t>thrips</w:t>
      </w:r>
      <w:proofErr w:type="spellEnd"/>
      <w:r w:rsidRPr="0096181E">
        <w:t xml:space="preserve"> </w:t>
      </w:r>
      <w:proofErr w:type="gramStart"/>
      <w:r w:rsidRPr="0096181E">
        <w:t>were also detected</w:t>
      </w:r>
      <w:proofErr w:type="gramEnd"/>
      <w:r w:rsidRPr="0096181E">
        <w:t xml:space="preserve"> for the very first time in Georgia blueberries; however, their economic impact remains to be determined. Statewide, a significant proportion of the blueberry acreage </w:t>
      </w:r>
      <w:proofErr w:type="gramStart"/>
      <w:r w:rsidRPr="0096181E">
        <w:t>was treated</w:t>
      </w:r>
      <w:proofErr w:type="gramEnd"/>
      <w:r w:rsidRPr="0096181E">
        <w:t xml:space="preserve"> with 1-3 insecticide applications to control these secondary insect pests. </w:t>
      </w:r>
    </w:p>
    <w:p w:rsidR="0096181E" w:rsidRPr="0096181E" w:rsidRDefault="0096181E" w:rsidP="0096181E">
      <w:r w:rsidRPr="0096181E">
        <w:t xml:space="preserve">More recently, frost events in March 2018 have caused some damage to blueberry blooms. The preliminary estimates indicate that Georgia blueberry growers may have lost about 30-40% of southern </w:t>
      </w:r>
      <w:r w:rsidRPr="0096181E">
        <w:lastRenderedPageBreak/>
        <w:t xml:space="preserve">highbush blueberry crop and 20-30% of </w:t>
      </w:r>
      <w:proofErr w:type="spellStart"/>
      <w:r w:rsidRPr="0096181E">
        <w:t>rabbiteye</w:t>
      </w:r>
      <w:proofErr w:type="spellEnd"/>
      <w:r w:rsidRPr="0096181E">
        <w:t xml:space="preserve"> blueberry crop. Of course, these are preliminary estimates and the actual impact of these frost events will be determined at harvest. </w:t>
      </w:r>
    </w:p>
    <w:p w:rsidR="0096181E" w:rsidRPr="0096181E" w:rsidRDefault="0096181E" w:rsidP="0096181E">
      <w:pPr>
        <w:spacing w:after="0" w:line="240" w:lineRule="auto"/>
        <w:outlineLvl w:val="0"/>
        <w:rPr>
          <w:b/>
        </w:rPr>
      </w:pPr>
      <w:bookmarkStart w:id="3" w:name="_Toc509838114"/>
      <w:r w:rsidRPr="0096181E">
        <w:rPr>
          <w:b/>
        </w:rPr>
        <w:t>Corn</w:t>
      </w:r>
      <w:bookmarkEnd w:id="3"/>
    </w:p>
    <w:p w:rsidR="0096181E" w:rsidRPr="0096181E" w:rsidRDefault="0096181E" w:rsidP="0096181E">
      <w:r w:rsidRPr="0096181E">
        <w:t xml:space="preserve">Corn acreage in Georgia was 290,000 acres planted and 245,000 acres harvested which was less than 2016 due to lower grain prices and wet conditions at planting.  Average grain yield was 178 </w:t>
      </w:r>
      <w:proofErr w:type="spellStart"/>
      <w:r w:rsidRPr="0096181E">
        <w:t>bu</w:t>
      </w:r>
      <w:proofErr w:type="spellEnd"/>
      <w:r w:rsidRPr="0096181E">
        <w:t xml:space="preserve">/acre, which was greater than the year before, but many irrigated fields yielded 250-300 </w:t>
      </w:r>
      <w:proofErr w:type="spellStart"/>
      <w:r w:rsidRPr="0096181E">
        <w:t>bu</w:t>
      </w:r>
      <w:proofErr w:type="spellEnd"/>
      <w:r w:rsidRPr="0096181E">
        <w:t xml:space="preserve">/acre.  </w:t>
      </w:r>
      <w:proofErr w:type="gramStart"/>
      <w:r w:rsidRPr="0096181E">
        <w:t>Average corn grain price</w:t>
      </w:r>
      <w:proofErr w:type="gramEnd"/>
      <w:r w:rsidRPr="0096181E">
        <w:t xml:space="preserve"> received was $4.15 per bushel. An additional 35,000 acres </w:t>
      </w:r>
      <w:proofErr w:type="gramStart"/>
      <w:r w:rsidRPr="0096181E">
        <w:t>were harvested</w:t>
      </w:r>
      <w:proofErr w:type="gramEnd"/>
      <w:r w:rsidRPr="0096181E">
        <w:t xml:space="preserve"> as silage with a yield of 16 tons per acre.   All corn seed </w:t>
      </w:r>
      <w:proofErr w:type="gramStart"/>
      <w:r w:rsidRPr="0096181E">
        <w:t>is treated</w:t>
      </w:r>
      <w:proofErr w:type="gramEnd"/>
      <w:r w:rsidRPr="0096181E">
        <w:t xml:space="preserve"> with a neonicotinoid insecticide so soil insect damage was very low.  </w:t>
      </w:r>
      <w:proofErr w:type="gramStart"/>
      <w:r w:rsidRPr="0096181E">
        <w:t>Stink bug</w:t>
      </w:r>
      <w:proofErr w:type="gramEnd"/>
      <w:r w:rsidRPr="0096181E">
        <w:t xml:space="preserve"> infestations were low to moderate in 2017 in most areas, although preventive sprays were still used widely.  Fall armyworm populations were moderate but some whorl infestations </w:t>
      </w:r>
      <w:proofErr w:type="gramStart"/>
      <w:r w:rsidRPr="0096181E">
        <w:t>were treated</w:t>
      </w:r>
      <w:proofErr w:type="gramEnd"/>
      <w:r w:rsidRPr="0096181E">
        <w:t xml:space="preserve"> in southern GA.  Fall armyworm whorl infestations were severe in non-</w:t>
      </w:r>
      <w:proofErr w:type="spellStart"/>
      <w:r w:rsidRPr="0096181E">
        <w:t>Bt</w:t>
      </w:r>
      <w:proofErr w:type="spellEnd"/>
      <w:r w:rsidRPr="0096181E">
        <w:t xml:space="preserve"> corn in later planting.  Corn earworm infestations were low to moderate in on-time planted corn, but increased to damaging levels in late-planted corn.   </w:t>
      </w:r>
      <w:proofErr w:type="spellStart"/>
      <w:proofErr w:type="gramStart"/>
      <w:r w:rsidRPr="0096181E">
        <w:t>Bt</w:t>
      </w:r>
      <w:proofErr w:type="spellEnd"/>
      <w:proofErr w:type="gramEnd"/>
      <w:r w:rsidRPr="0096181E">
        <w:t xml:space="preserve"> corn adoption is about 80% in the state.  Cost of </w:t>
      </w:r>
      <w:proofErr w:type="spellStart"/>
      <w:proofErr w:type="gramStart"/>
      <w:r w:rsidRPr="0096181E">
        <w:t>Bt</w:t>
      </w:r>
      <w:proofErr w:type="spellEnd"/>
      <w:proofErr w:type="gramEnd"/>
      <w:r w:rsidRPr="0096181E">
        <w:t xml:space="preserve"> technology was about $16 to $28 per acre depending on trait package.  More unexpected ear/kernel damage by corn earworm was observed in </w:t>
      </w:r>
      <w:proofErr w:type="gramStart"/>
      <w:r w:rsidRPr="0096181E">
        <w:t>late planted</w:t>
      </w:r>
      <w:proofErr w:type="gramEnd"/>
      <w:r w:rsidRPr="0096181E">
        <w:t xml:space="preserve"> </w:t>
      </w:r>
      <w:proofErr w:type="spellStart"/>
      <w:r w:rsidRPr="0096181E">
        <w:t>Bt</w:t>
      </w:r>
      <w:proofErr w:type="spellEnd"/>
      <w:r w:rsidRPr="0096181E">
        <w:t xml:space="preserve"> corn than a few years earlier suggesting that field-evolved resistance is occurring in some </w:t>
      </w:r>
      <w:proofErr w:type="spellStart"/>
      <w:r w:rsidRPr="0096181E">
        <w:t>Bt</w:t>
      </w:r>
      <w:proofErr w:type="spellEnd"/>
      <w:r w:rsidRPr="0096181E">
        <w:t xml:space="preserve"> trait products in Georgia.  Studies in 2017 indicate resistance in corn earworm populations to the Cry1A genes is now widespread in the southern U.S.  </w:t>
      </w:r>
    </w:p>
    <w:p w:rsidR="0096181E" w:rsidRPr="0096181E" w:rsidRDefault="0096181E" w:rsidP="0096181E"/>
    <w:p w:rsidR="0096181E" w:rsidRPr="0096181E" w:rsidRDefault="0096181E" w:rsidP="0096181E">
      <w:pPr>
        <w:spacing w:after="0" w:line="240" w:lineRule="auto"/>
        <w:outlineLvl w:val="0"/>
        <w:rPr>
          <w:b/>
        </w:rPr>
      </w:pPr>
      <w:bookmarkStart w:id="4" w:name="_Toc509838115"/>
      <w:r w:rsidRPr="0096181E">
        <w:rPr>
          <w:b/>
        </w:rPr>
        <w:t>Cotton</w:t>
      </w:r>
      <w:bookmarkEnd w:id="4"/>
    </w:p>
    <w:p w:rsidR="0096181E" w:rsidRPr="0096181E" w:rsidRDefault="0096181E" w:rsidP="0096181E">
      <w:pPr>
        <w:rPr>
          <w:rFonts w:ascii="Calibri" w:eastAsia="Calibri" w:hAnsi="Calibri" w:cs="Times New Roman"/>
        </w:rPr>
      </w:pPr>
      <w:r w:rsidRPr="0096181E">
        <w:rPr>
          <w:rFonts w:ascii="Calibri" w:eastAsia="Calibri" w:hAnsi="Calibri" w:cs="Times New Roman"/>
        </w:rPr>
        <w:t xml:space="preserve">The 2017 production year </w:t>
      </w:r>
      <w:proofErr w:type="gramStart"/>
      <w:r w:rsidRPr="0096181E">
        <w:rPr>
          <w:rFonts w:ascii="Calibri" w:eastAsia="Calibri" w:hAnsi="Calibri" w:cs="Times New Roman"/>
        </w:rPr>
        <w:t>will be remembered</w:t>
      </w:r>
      <w:proofErr w:type="gramEnd"/>
      <w:r w:rsidRPr="0096181E">
        <w:rPr>
          <w:rFonts w:ascii="Calibri" w:eastAsia="Calibri" w:hAnsi="Calibri" w:cs="Times New Roman"/>
        </w:rPr>
        <w:t xml:space="preserve"> as the year of the whitefly.  </w:t>
      </w:r>
      <w:proofErr w:type="spellStart"/>
      <w:r w:rsidRPr="0096181E">
        <w:rPr>
          <w:rFonts w:ascii="Calibri" w:eastAsia="Calibri" w:hAnsi="Calibri" w:cs="Times New Roman"/>
        </w:rPr>
        <w:t>Silverleaf</w:t>
      </w:r>
      <w:proofErr w:type="spellEnd"/>
      <w:r w:rsidRPr="0096181E">
        <w:rPr>
          <w:rFonts w:ascii="Calibri" w:eastAsia="Calibri" w:hAnsi="Calibri" w:cs="Times New Roman"/>
        </w:rPr>
        <w:t xml:space="preserve"> whitefly infested the majority of cotton and reached outbreak populations in many areas.  An average yield of 850 lbs. lint per acre </w:t>
      </w:r>
      <w:proofErr w:type="gramStart"/>
      <w:r w:rsidRPr="0096181E">
        <w:rPr>
          <w:rFonts w:ascii="Calibri" w:eastAsia="Calibri" w:hAnsi="Calibri" w:cs="Times New Roman"/>
        </w:rPr>
        <w:t>was harvested</w:t>
      </w:r>
      <w:proofErr w:type="gramEnd"/>
      <w:r w:rsidRPr="0096181E">
        <w:rPr>
          <w:rFonts w:ascii="Calibri" w:eastAsia="Calibri" w:hAnsi="Calibri" w:cs="Times New Roman"/>
        </w:rPr>
        <w:t xml:space="preserve"> on 1.27 million acres of cotton.  Average insecticide applications were 3.9 per acre, average yield loss due to insects was 9.25 percent, and the total costs associated with insect pests (losses plus control costs) were $167.93 per acre.  Insect control costs and losses were the highest recorded in over 20 years.</w:t>
      </w:r>
    </w:p>
    <w:p w:rsidR="0096181E" w:rsidRPr="0096181E" w:rsidRDefault="0096181E" w:rsidP="0096181E">
      <w:pPr>
        <w:rPr>
          <w:rFonts w:ascii="Calibri" w:eastAsia="Calibri" w:hAnsi="Calibri" w:cs="Times New Roman"/>
        </w:rPr>
      </w:pPr>
      <w:r w:rsidRPr="0096181E">
        <w:rPr>
          <w:rFonts w:ascii="Calibri" w:eastAsia="Calibri" w:hAnsi="Calibri" w:cs="Times New Roman"/>
        </w:rPr>
        <w:t xml:space="preserve">Moderate </w:t>
      </w:r>
      <w:proofErr w:type="spellStart"/>
      <w:r w:rsidRPr="0096181E">
        <w:rPr>
          <w:rFonts w:ascii="Calibri" w:eastAsia="Calibri" w:hAnsi="Calibri" w:cs="Times New Roman"/>
        </w:rPr>
        <w:t>thrips</w:t>
      </w:r>
      <w:proofErr w:type="spellEnd"/>
      <w:r w:rsidRPr="0096181E">
        <w:rPr>
          <w:rFonts w:ascii="Calibri" w:eastAsia="Calibri" w:hAnsi="Calibri" w:cs="Times New Roman"/>
        </w:rPr>
        <w:t xml:space="preserve"> infestations </w:t>
      </w:r>
      <w:proofErr w:type="gramStart"/>
      <w:r w:rsidRPr="0096181E">
        <w:rPr>
          <w:rFonts w:ascii="Calibri" w:eastAsia="Calibri" w:hAnsi="Calibri" w:cs="Times New Roman"/>
        </w:rPr>
        <w:t>were observed</w:t>
      </w:r>
      <w:proofErr w:type="gramEnd"/>
      <w:r w:rsidRPr="0096181E">
        <w:rPr>
          <w:rFonts w:ascii="Calibri" w:eastAsia="Calibri" w:hAnsi="Calibri" w:cs="Times New Roman"/>
        </w:rPr>
        <w:t xml:space="preserve"> on cotton planted in April followed by unusually low </w:t>
      </w:r>
      <w:proofErr w:type="spellStart"/>
      <w:r w:rsidRPr="0096181E">
        <w:rPr>
          <w:rFonts w:ascii="Calibri" w:eastAsia="Calibri" w:hAnsi="Calibri" w:cs="Times New Roman"/>
        </w:rPr>
        <w:t>thrips</w:t>
      </w:r>
      <w:proofErr w:type="spellEnd"/>
      <w:r w:rsidRPr="0096181E">
        <w:rPr>
          <w:rFonts w:ascii="Calibri" w:eastAsia="Calibri" w:hAnsi="Calibri" w:cs="Times New Roman"/>
        </w:rPr>
        <w:t xml:space="preserve"> infestations on cotton planted in May and June.  Due to low populations, </w:t>
      </w:r>
      <w:proofErr w:type="spellStart"/>
      <w:r w:rsidRPr="0096181E">
        <w:rPr>
          <w:rFonts w:ascii="Calibri" w:eastAsia="Calibri" w:hAnsi="Calibri" w:cs="Times New Roman"/>
        </w:rPr>
        <w:t>neonic</w:t>
      </w:r>
      <w:proofErr w:type="spellEnd"/>
      <w:r w:rsidRPr="0096181E">
        <w:rPr>
          <w:rFonts w:ascii="Calibri" w:eastAsia="Calibri" w:hAnsi="Calibri" w:cs="Times New Roman"/>
        </w:rPr>
        <w:t xml:space="preserve"> seed treatments provided acceptable control, and </w:t>
      </w:r>
      <w:proofErr w:type="gramStart"/>
      <w:r w:rsidRPr="0096181E">
        <w:rPr>
          <w:rFonts w:ascii="Calibri" w:eastAsia="Calibri" w:hAnsi="Calibri" w:cs="Times New Roman"/>
        </w:rPr>
        <w:t>fewer foliar applications were made by growers</w:t>
      </w:r>
      <w:proofErr w:type="gramEnd"/>
      <w:r w:rsidRPr="0096181E">
        <w:rPr>
          <w:rFonts w:ascii="Calibri" w:eastAsia="Calibri" w:hAnsi="Calibri" w:cs="Times New Roman"/>
        </w:rPr>
        <w:t xml:space="preserve">.  </w:t>
      </w:r>
    </w:p>
    <w:p w:rsidR="0096181E" w:rsidRPr="0096181E" w:rsidRDefault="0096181E" w:rsidP="0096181E">
      <w:pPr>
        <w:rPr>
          <w:rFonts w:ascii="Calibri" w:eastAsia="Calibri" w:hAnsi="Calibri" w:cs="Times New Roman"/>
        </w:rPr>
      </w:pPr>
      <w:r w:rsidRPr="0096181E">
        <w:rPr>
          <w:rFonts w:ascii="Calibri" w:eastAsia="Calibri" w:hAnsi="Calibri" w:cs="Times New Roman"/>
        </w:rPr>
        <w:t xml:space="preserve">Tarnished plant bugs infested 45 percent of Georgia cotton and 9 percent of the acres were treated.  We continue to see a trend for increased numbers of tarnished plant bugs in cotton.  Insecticide applications targeting plant bugs disrupt beneficial insects and have the potential to flare secondary pests.  Approximately 5 percent of acres </w:t>
      </w:r>
      <w:proofErr w:type="gramStart"/>
      <w:r w:rsidRPr="0096181E">
        <w:rPr>
          <w:rFonts w:ascii="Calibri" w:eastAsia="Calibri" w:hAnsi="Calibri" w:cs="Times New Roman"/>
        </w:rPr>
        <w:t>were treated</w:t>
      </w:r>
      <w:proofErr w:type="gramEnd"/>
      <w:r w:rsidRPr="0096181E">
        <w:rPr>
          <w:rFonts w:ascii="Calibri" w:eastAsia="Calibri" w:hAnsi="Calibri" w:cs="Times New Roman"/>
        </w:rPr>
        <w:t xml:space="preserve"> for cotton aphid and spider mites respectively.  </w:t>
      </w:r>
    </w:p>
    <w:p w:rsidR="0096181E" w:rsidRPr="0096181E" w:rsidRDefault="0096181E" w:rsidP="0096181E">
      <w:pPr>
        <w:rPr>
          <w:rFonts w:ascii="Calibri" w:eastAsia="Calibri" w:hAnsi="Calibri" w:cs="Times New Roman"/>
        </w:rPr>
      </w:pPr>
      <w:r w:rsidRPr="0096181E">
        <w:rPr>
          <w:rFonts w:ascii="Calibri" w:eastAsia="Calibri" w:hAnsi="Calibri" w:cs="Times New Roman"/>
        </w:rPr>
        <w:t xml:space="preserve">Nearly all cotton planted in Georgia is </w:t>
      </w:r>
      <w:proofErr w:type="spellStart"/>
      <w:proofErr w:type="gramStart"/>
      <w:r w:rsidRPr="0096181E">
        <w:rPr>
          <w:rFonts w:ascii="Calibri" w:eastAsia="Calibri" w:hAnsi="Calibri" w:cs="Times New Roman"/>
        </w:rPr>
        <w:t>Bt</w:t>
      </w:r>
      <w:proofErr w:type="spellEnd"/>
      <w:proofErr w:type="gramEnd"/>
      <w:r w:rsidRPr="0096181E">
        <w:rPr>
          <w:rFonts w:ascii="Calibri" w:eastAsia="Calibri" w:hAnsi="Calibri" w:cs="Times New Roman"/>
        </w:rPr>
        <w:t xml:space="preserve"> cotton.  There are concerns in Georgia and the Cotton Belt as a whole that we are observing decreased efficacy (resistance) of some </w:t>
      </w:r>
      <w:proofErr w:type="spellStart"/>
      <w:proofErr w:type="gramStart"/>
      <w:r w:rsidRPr="0096181E">
        <w:rPr>
          <w:rFonts w:ascii="Calibri" w:eastAsia="Calibri" w:hAnsi="Calibri" w:cs="Times New Roman"/>
        </w:rPr>
        <w:t>Bt</w:t>
      </w:r>
      <w:proofErr w:type="spellEnd"/>
      <w:proofErr w:type="gramEnd"/>
      <w:r w:rsidRPr="0096181E">
        <w:rPr>
          <w:rFonts w:ascii="Calibri" w:eastAsia="Calibri" w:hAnsi="Calibri" w:cs="Times New Roman"/>
        </w:rPr>
        <w:t xml:space="preserve"> technologies to corn earworm in the field.  Approximately 20 percent of cotton </w:t>
      </w:r>
      <w:proofErr w:type="gramStart"/>
      <w:r w:rsidRPr="0096181E">
        <w:rPr>
          <w:rFonts w:ascii="Calibri" w:eastAsia="Calibri" w:hAnsi="Calibri" w:cs="Times New Roman"/>
        </w:rPr>
        <w:t>was treated</w:t>
      </w:r>
      <w:proofErr w:type="gramEnd"/>
      <w:r w:rsidRPr="0096181E">
        <w:rPr>
          <w:rFonts w:ascii="Calibri" w:eastAsia="Calibri" w:hAnsi="Calibri" w:cs="Times New Roman"/>
        </w:rPr>
        <w:t xml:space="preserve"> for corn earworm.  </w:t>
      </w:r>
      <w:proofErr w:type="gramStart"/>
      <w:r w:rsidRPr="0096181E">
        <w:rPr>
          <w:rFonts w:ascii="Calibri" w:eastAsia="Calibri" w:hAnsi="Calibri" w:cs="Times New Roman"/>
        </w:rPr>
        <w:t>Stink bugs</w:t>
      </w:r>
      <w:proofErr w:type="gramEnd"/>
      <w:r w:rsidRPr="0096181E">
        <w:rPr>
          <w:rFonts w:ascii="Calibri" w:eastAsia="Calibri" w:hAnsi="Calibri" w:cs="Times New Roman"/>
        </w:rPr>
        <w:t xml:space="preserve"> continue to be the most common insect requiring treatment.  Approximately 80 percent of acres were treated for </w:t>
      </w:r>
      <w:proofErr w:type="gramStart"/>
      <w:r w:rsidRPr="0096181E">
        <w:rPr>
          <w:rFonts w:ascii="Calibri" w:eastAsia="Calibri" w:hAnsi="Calibri" w:cs="Times New Roman"/>
        </w:rPr>
        <w:t>stink bugs</w:t>
      </w:r>
      <w:proofErr w:type="gramEnd"/>
      <w:r w:rsidRPr="0096181E">
        <w:rPr>
          <w:rFonts w:ascii="Calibri" w:eastAsia="Calibri" w:hAnsi="Calibri" w:cs="Times New Roman"/>
        </w:rPr>
        <w:t>; averaging 1.77 applications per acre.</w:t>
      </w:r>
    </w:p>
    <w:p w:rsidR="0096181E" w:rsidRPr="0096181E" w:rsidRDefault="0096181E" w:rsidP="0096181E">
      <w:pPr>
        <w:rPr>
          <w:rFonts w:ascii="Calibri" w:eastAsia="Calibri" w:hAnsi="Calibri" w:cs="Times New Roman"/>
        </w:rPr>
      </w:pPr>
      <w:r w:rsidRPr="0096181E">
        <w:rPr>
          <w:rFonts w:ascii="Calibri" w:eastAsia="Calibri" w:hAnsi="Calibri" w:cs="Times New Roman"/>
        </w:rPr>
        <w:lastRenderedPageBreak/>
        <w:t xml:space="preserve">The 2017 cotton production year will most be remembered by the major outbreak of </w:t>
      </w:r>
      <w:proofErr w:type="spellStart"/>
      <w:r w:rsidRPr="0096181E">
        <w:rPr>
          <w:rFonts w:ascii="Calibri" w:eastAsia="Calibri" w:hAnsi="Calibri" w:cs="Times New Roman"/>
        </w:rPr>
        <w:t>silverleaf</w:t>
      </w:r>
      <w:proofErr w:type="spellEnd"/>
      <w:r w:rsidRPr="0096181E">
        <w:rPr>
          <w:rFonts w:ascii="Calibri" w:eastAsia="Calibri" w:hAnsi="Calibri" w:cs="Times New Roman"/>
        </w:rPr>
        <w:t xml:space="preserve"> whitefly (SLWF)</w:t>
      </w:r>
      <w:proofErr w:type="gramStart"/>
      <w:r w:rsidRPr="0096181E">
        <w:rPr>
          <w:rFonts w:ascii="Calibri" w:eastAsia="Calibri" w:hAnsi="Calibri" w:cs="Times New Roman"/>
        </w:rPr>
        <w:t>.</w:t>
      </w:r>
      <w:proofErr w:type="gramEnd"/>
      <w:r w:rsidRPr="0096181E">
        <w:rPr>
          <w:rFonts w:ascii="Calibri" w:eastAsia="Calibri" w:hAnsi="Calibri" w:cs="Times New Roman"/>
        </w:rPr>
        <w:t xml:space="preserve">  Initial infestations in cotton were observed in late </w:t>
      </w:r>
      <w:proofErr w:type="gramStart"/>
      <w:r w:rsidRPr="0096181E">
        <w:rPr>
          <w:rFonts w:ascii="Calibri" w:eastAsia="Calibri" w:hAnsi="Calibri" w:cs="Times New Roman"/>
        </w:rPr>
        <w:t>May which</w:t>
      </w:r>
      <w:proofErr w:type="gramEnd"/>
      <w:r w:rsidRPr="0096181E">
        <w:rPr>
          <w:rFonts w:ascii="Calibri" w:eastAsia="Calibri" w:hAnsi="Calibri" w:cs="Times New Roman"/>
        </w:rPr>
        <w:t xml:space="preserve"> was unusually early; historically if we see SLWF infesting cotton in July we anticipate economic problems.  The earliest insecticide applications for SLWF </w:t>
      </w:r>
      <w:proofErr w:type="gramStart"/>
      <w:r w:rsidRPr="0096181E">
        <w:rPr>
          <w:rFonts w:ascii="Calibri" w:eastAsia="Calibri" w:hAnsi="Calibri" w:cs="Times New Roman"/>
        </w:rPr>
        <w:t>were made</w:t>
      </w:r>
      <w:proofErr w:type="gramEnd"/>
      <w:r w:rsidRPr="0096181E">
        <w:rPr>
          <w:rFonts w:ascii="Calibri" w:eastAsia="Calibri" w:hAnsi="Calibri" w:cs="Times New Roman"/>
        </w:rPr>
        <w:t xml:space="preserve"> in early July.  SLWF typically is a localized pest, infesting up to 20 percent of cotton acreage.  During </w:t>
      </w:r>
      <w:proofErr w:type="gramStart"/>
      <w:r w:rsidRPr="0096181E">
        <w:rPr>
          <w:rFonts w:ascii="Calibri" w:eastAsia="Calibri" w:hAnsi="Calibri" w:cs="Times New Roman"/>
        </w:rPr>
        <w:t>2017</w:t>
      </w:r>
      <w:proofErr w:type="gramEnd"/>
      <w:r w:rsidRPr="0096181E">
        <w:rPr>
          <w:rFonts w:ascii="Calibri" w:eastAsia="Calibri" w:hAnsi="Calibri" w:cs="Times New Roman"/>
        </w:rPr>
        <w:t xml:space="preserve"> approximately 85 percent of cotton was infested with SLWF and 70 percent of the acreage was treated.  Total SLWF insecticide applications averaged 1.33 per acre.  Due to the specificity and limited use of most SLWF insecticides, cotton quickly exhausted supplies of preferred insecticides. Finding and applying insecticides for SLWF in a timely manner was difficult during August and September.  Control costs averaged over $23 per acre and yield loss </w:t>
      </w:r>
      <w:proofErr w:type="gramStart"/>
      <w:r w:rsidRPr="0096181E">
        <w:rPr>
          <w:rFonts w:ascii="Calibri" w:eastAsia="Calibri" w:hAnsi="Calibri" w:cs="Times New Roman"/>
        </w:rPr>
        <w:t>was estimated</w:t>
      </w:r>
      <w:proofErr w:type="gramEnd"/>
      <w:r w:rsidRPr="0096181E">
        <w:rPr>
          <w:rFonts w:ascii="Calibri" w:eastAsia="Calibri" w:hAnsi="Calibri" w:cs="Times New Roman"/>
        </w:rPr>
        <w:t xml:space="preserve"> at 7.65 percent per acre.  In total, control costs and yield loss for SLWF exceeded $100 per acre for the state.  Successful management was dependent upon proper timing of initial insecticide applications when thresholds </w:t>
      </w:r>
      <w:proofErr w:type="gramStart"/>
      <w:r w:rsidRPr="0096181E">
        <w:rPr>
          <w:rFonts w:ascii="Calibri" w:eastAsia="Calibri" w:hAnsi="Calibri" w:cs="Times New Roman"/>
        </w:rPr>
        <w:t>were exceeded</w:t>
      </w:r>
      <w:proofErr w:type="gramEnd"/>
      <w:r w:rsidRPr="0096181E">
        <w:rPr>
          <w:rFonts w:ascii="Calibri" w:eastAsia="Calibri" w:hAnsi="Calibri" w:cs="Times New Roman"/>
        </w:rPr>
        <w:t xml:space="preserve">.  Producers who were late with insecticide intervention faced a nearly impossible situation.  Massive populations moved from cotton to fall vegetables in late summer and created havoc in terms of management in those crops.  Hurricane Irma traveled across </w:t>
      </w:r>
      <w:proofErr w:type="gramStart"/>
      <w:r w:rsidRPr="0096181E">
        <w:rPr>
          <w:rFonts w:ascii="Calibri" w:eastAsia="Calibri" w:hAnsi="Calibri" w:cs="Times New Roman"/>
        </w:rPr>
        <w:t>south</w:t>
      </w:r>
      <w:proofErr w:type="gramEnd"/>
      <w:r w:rsidRPr="0096181E">
        <w:rPr>
          <w:rFonts w:ascii="Calibri" w:eastAsia="Calibri" w:hAnsi="Calibri" w:cs="Times New Roman"/>
        </w:rPr>
        <w:t xml:space="preserve"> Georgia on September 11th and caused significant damage to cotton in terms of yield.  However, the hurricane also significantly reduced SLWF populations in cotton.  In previous </w:t>
      </w:r>
      <w:proofErr w:type="gramStart"/>
      <w:r w:rsidRPr="0096181E">
        <w:rPr>
          <w:rFonts w:ascii="Calibri" w:eastAsia="Calibri" w:hAnsi="Calibri" w:cs="Times New Roman"/>
        </w:rPr>
        <w:t>years</w:t>
      </w:r>
      <w:proofErr w:type="gramEnd"/>
      <w:r w:rsidRPr="0096181E">
        <w:rPr>
          <w:rFonts w:ascii="Calibri" w:eastAsia="Calibri" w:hAnsi="Calibri" w:cs="Times New Roman"/>
        </w:rPr>
        <w:t xml:space="preserve"> we have observed SLWF populations rebound about 7 days after a hurricane.  That was not the case in </w:t>
      </w:r>
      <w:proofErr w:type="gramStart"/>
      <w:r w:rsidRPr="0096181E">
        <w:rPr>
          <w:rFonts w:ascii="Calibri" w:eastAsia="Calibri" w:hAnsi="Calibri" w:cs="Times New Roman"/>
        </w:rPr>
        <w:t>2017</w:t>
      </w:r>
      <w:proofErr w:type="gramEnd"/>
      <w:r w:rsidRPr="0096181E">
        <w:rPr>
          <w:rFonts w:ascii="Calibri" w:eastAsia="Calibri" w:hAnsi="Calibri" w:cs="Times New Roman"/>
        </w:rPr>
        <w:t xml:space="preserve"> as economic populations did not return to cotton after Irma.  Beginning in </w:t>
      </w:r>
      <w:proofErr w:type="gramStart"/>
      <w:r w:rsidRPr="0096181E">
        <w:rPr>
          <w:rFonts w:ascii="Calibri" w:eastAsia="Calibri" w:hAnsi="Calibri" w:cs="Times New Roman"/>
        </w:rPr>
        <w:t>August</w:t>
      </w:r>
      <w:proofErr w:type="gramEnd"/>
      <w:r w:rsidRPr="0096181E">
        <w:rPr>
          <w:rFonts w:ascii="Calibri" w:eastAsia="Calibri" w:hAnsi="Calibri" w:cs="Times New Roman"/>
        </w:rPr>
        <w:t xml:space="preserve"> we observed a naturally occurring fungus, </w:t>
      </w:r>
      <w:proofErr w:type="spellStart"/>
      <w:r w:rsidRPr="0096181E">
        <w:rPr>
          <w:rFonts w:ascii="Calibri" w:eastAsia="Calibri" w:hAnsi="Calibri" w:cs="Times New Roman"/>
          <w:i/>
        </w:rPr>
        <w:t>Isaria</w:t>
      </w:r>
      <w:proofErr w:type="spellEnd"/>
      <w:r w:rsidRPr="0096181E">
        <w:rPr>
          <w:rFonts w:ascii="Calibri" w:eastAsia="Calibri" w:hAnsi="Calibri" w:cs="Times New Roman"/>
          <w:i/>
        </w:rPr>
        <w:t xml:space="preserve"> </w:t>
      </w:r>
      <w:proofErr w:type="spellStart"/>
      <w:r w:rsidRPr="0096181E">
        <w:rPr>
          <w:rFonts w:ascii="Calibri" w:eastAsia="Calibri" w:hAnsi="Calibri" w:cs="Times New Roman"/>
          <w:i/>
        </w:rPr>
        <w:t>fumosorosea</w:t>
      </w:r>
      <w:proofErr w:type="spellEnd"/>
      <w:r w:rsidRPr="0096181E">
        <w:rPr>
          <w:rFonts w:ascii="Calibri" w:eastAsia="Calibri" w:hAnsi="Calibri" w:cs="Times New Roman"/>
        </w:rPr>
        <w:t>, causing mortality in the field.  Conservation of natural enemies and the use of insect growth regulators in a timely manner to prevent infield reproduction continued to be our most effective management program.</w:t>
      </w:r>
    </w:p>
    <w:p w:rsidR="0096181E" w:rsidRPr="0096181E" w:rsidRDefault="0096181E" w:rsidP="0096181E">
      <w:pPr>
        <w:spacing w:after="0" w:line="240" w:lineRule="auto"/>
        <w:outlineLvl w:val="0"/>
        <w:rPr>
          <w:b/>
        </w:rPr>
      </w:pPr>
      <w:bookmarkStart w:id="5" w:name="_Toc509838116"/>
      <w:r w:rsidRPr="0096181E">
        <w:rPr>
          <w:b/>
        </w:rPr>
        <w:t>Forestry</w:t>
      </w:r>
      <w:bookmarkEnd w:id="5"/>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t xml:space="preserve">Over 27.7 million acres of Georgia (65%) </w:t>
      </w:r>
      <w:proofErr w:type="gramStart"/>
      <w:r w:rsidRPr="0096181E">
        <w:rPr>
          <w:rFonts w:eastAsia="Times New Roman" w:cs="Times New Roman"/>
          <w:color w:val="000000"/>
        </w:rPr>
        <w:t>is forested</w:t>
      </w:r>
      <w:proofErr w:type="gramEnd"/>
      <w:r w:rsidRPr="0096181E">
        <w:rPr>
          <w:rFonts w:eastAsia="Times New Roman" w:cs="Times New Roman"/>
          <w:color w:val="000000"/>
        </w:rPr>
        <w:t xml:space="preserve">.  Most of this forested land is classified as timberland, i.e., available for commercial use – the most in the nation.  Georgia </w:t>
      </w:r>
      <w:proofErr w:type="gramStart"/>
      <w:r w:rsidRPr="0096181E">
        <w:rPr>
          <w:rFonts w:eastAsia="Times New Roman" w:cs="Times New Roman"/>
          <w:color w:val="000000"/>
        </w:rPr>
        <w:t>has been consistently ranked</w:t>
      </w:r>
      <w:proofErr w:type="gramEnd"/>
      <w:r w:rsidRPr="0096181E">
        <w:rPr>
          <w:rFonts w:eastAsia="Times New Roman" w:cs="Times New Roman"/>
          <w:color w:val="000000"/>
        </w:rPr>
        <w:t xml:space="preserve"> as the top timber state in the United States.</w:t>
      </w:r>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t>Numerous forest insects are problematic in Georgia forests, including emerald ash borer (</w:t>
      </w:r>
      <w:proofErr w:type="spellStart"/>
      <w:r w:rsidRPr="0096181E">
        <w:rPr>
          <w:rFonts w:eastAsia="Times New Roman" w:cs="Times New Roman"/>
          <w:i/>
          <w:iCs/>
          <w:color w:val="000000"/>
        </w:rPr>
        <w:t>Agrilus</w:t>
      </w:r>
      <w:proofErr w:type="spellEnd"/>
      <w:r w:rsidRPr="0096181E">
        <w:rPr>
          <w:rFonts w:eastAsia="Times New Roman" w:cs="Times New Roman"/>
          <w:i/>
          <w:iCs/>
          <w:color w:val="000000"/>
        </w:rPr>
        <w:t xml:space="preserve"> </w:t>
      </w:r>
      <w:proofErr w:type="spellStart"/>
      <w:r w:rsidRPr="0096181E">
        <w:rPr>
          <w:rFonts w:eastAsia="Times New Roman" w:cs="Times New Roman"/>
          <w:i/>
          <w:iCs/>
          <w:color w:val="000000"/>
        </w:rPr>
        <w:t>planipennis</w:t>
      </w:r>
      <w:proofErr w:type="spellEnd"/>
      <w:r w:rsidRPr="0096181E">
        <w:rPr>
          <w:rFonts w:eastAsia="Times New Roman" w:cs="Times New Roman"/>
          <w:color w:val="000000"/>
        </w:rPr>
        <w:t>), southern pine beetle (</w:t>
      </w:r>
      <w:proofErr w:type="spellStart"/>
      <w:r w:rsidRPr="0096181E">
        <w:rPr>
          <w:rFonts w:eastAsia="Times New Roman" w:cs="Times New Roman"/>
          <w:i/>
          <w:iCs/>
          <w:color w:val="000000"/>
        </w:rPr>
        <w:t>Dendroctonus</w:t>
      </w:r>
      <w:proofErr w:type="spellEnd"/>
      <w:r w:rsidRPr="0096181E">
        <w:rPr>
          <w:rFonts w:eastAsia="Times New Roman" w:cs="Times New Roman"/>
          <w:i/>
          <w:iCs/>
          <w:color w:val="000000"/>
        </w:rPr>
        <w:t xml:space="preserve"> frontalis</w:t>
      </w:r>
      <w:r w:rsidRPr="0096181E">
        <w:rPr>
          <w:rFonts w:eastAsia="Times New Roman" w:cs="Times New Roman"/>
          <w:color w:val="000000"/>
        </w:rPr>
        <w:t xml:space="preserve">), </w:t>
      </w:r>
      <w:proofErr w:type="spellStart"/>
      <w:r w:rsidRPr="0096181E">
        <w:rPr>
          <w:rFonts w:eastAsia="Times New Roman" w:cs="Times New Roman"/>
          <w:color w:val="000000"/>
        </w:rPr>
        <w:t>redbay</w:t>
      </w:r>
      <w:proofErr w:type="spellEnd"/>
      <w:r w:rsidRPr="0096181E">
        <w:rPr>
          <w:rFonts w:eastAsia="Times New Roman" w:cs="Times New Roman"/>
          <w:color w:val="000000"/>
        </w:rPr>
        <w:t xml:space="preserve"> ambrosia beetle (</w:t>
      </w:r>
      <w:proofErr w:type="spellStart"/>
      <w:r w:rsidRPr="0096181E">
        <w:rPr>
          <w:rFonts w:eastAsia="Times New Roman" w:cs="Times New Roman"/>
          <w:i/>
          <w:iCs/>
          <w:color w:val="000000"/>
          <w:shd w:val="clear" w:color="auto" w:fill="FFFFF8"/>
        </w:rPr>
        <w:t>Xyleborus</w:t>
      </w:r>
      <w:proofErr w:type="spellEnd"/>
      <w:r w:rsidRPr="0096181E">
        <w:rPr>
          <w:rFonts w:eastAsia="Times New Roman" w:cs="Times New Roman"/>
          <w:i/>
          <w:iCs/>
          <w:color w:val="000000"/>
          <w:shd w:val="clear" w:color="auto" w:fill="FFFFF8"/>
        </w:rPr>
        <w:t xml:space="preserve"> </w:t>
      </w:r>
      <w:proofErr w:type="spellStart"/>
      <w:r w:rsidRPr="0096181E">
        <w:rPr>
          <w:rFonts w:eastAsia="Times New Roman" w:cs="Times New Roman"/>
          <w:i/>
          <w:iCs/>
          <w:color w:val="000000"/>
          <w:shd w:val="clear" w:color="auto" w:fill="FFFFF8"/>
        </w:rPr>
        <w:t>glabratus</w:t>
      </w:r>
      <w:proofErr w:type="spellEnd"/>
      <w:r w:rsidRPr="0096181E">
        <w:rPr>
          <w:rFonts w:eastAsia="Times New Roman" w:cs="Times New Roman"/>
          <w:color w:val="000000"/>
          <w:shd w:val="clear" w:color="auto" w:fill="FFFFF8"/>
        </w:rPr>
        <w:t>),</w:t>
      </w:r>
      <w:r w:rsidRPr="0096181E">
        <w:rPr>
          <w:rFonts w:eastAsia="Times New Roman" w:cs="Times New Roman"/>
          <w:color w:val="000000"/>
        </w:rPr>
        <w:t xml:space="preserve"> hemlock woolly </w:t>
      </w:r>
      <w:proofErr w:type="spellStart"/>
      <w:r w:rsidRPr="0096181E">
        <w:rPr>
          <w:rFonts w:eastAsia="Times New Roman" w:cs="Times New Roman"/>
          <w:color w:val="000000"/>
        </w:rPr>
        <w:t>adelgid</w:t>
      </w:r>
      <w:proofErr w:type="spellEnd"/>
      <w:r w:rsidRPr="0096181E">
        <w:rPr>
          <w:rFonts w:eastAsia="Times New Roman" w:cs="Times New Roman"/>
          <w:color w:val="000000"/>
        </w:rPr>
        <w:t xml:space="preserve"> (</w:t>
      </w:r>
      <w:proofErr w:type="spellStart"/>
      <w:r w:rsidRPr="0096181E">
        <w:rPr>
          <w:rFonts w:eastAsia="Times New Roman" w:cs="Times New Roman"/>
          <w:i/>
          <w:iCs/>
          <w:color w:val="000000"/>
        </w:rPr>
        <w:t>Adelges</w:t>
      </w:r>
      <w:proofErr w:type="spellEnd"/>
      <w:r w:rsidRPr="0096181E">
        <w:rPr>
          <w:rFonts w:eastAsia="Times New Roman" w:cs="Times New Roman"/>
          <w:i/>
          <w:iCs/>
          <w:color w:val="000000"/>
        </w:rPr>
        <w:t xml:space="preserve"> </w:t>
      </w:r>
      <w:proofErr w:type="spellStart"/>
      <w:r w:rsidRPr="0096181E">
        <w:rPr>
          <w:rFonts w:eastAsia="Times New Roman" w:cs="Times New Roman"/>
          <w:i/>
          <w:iCs/>
          <w:color w:val="000000"/>
        </w:rPr>
        <w:t>tsugae</w:t>
      </w:r>
      <w:proofErr w:type="spellEnd"/>
      <w:r w:rsidRPr="0096181E">
        <w:rPr>
          <w:rFonts w:eastAsia="Times New Roman" w:cs="Times New Roman"/>
          <w:color w:val="000000"/>
        </w:rPr>
        <w:t>), black turpentine beetle (</w:t>
      </w:r>
      <w:proofErr w:type="spellStart"/>
      <w:r w:rsidRPr="0096181E">
        <w:rPr>
          <w:rFonts w:eastAsia="Times New Roman" w:cs="Times New Roman"/>
          <w:i/>
          <w:iCs/>
          <w:color w:val="000000"/>
        </w:rPr>
        <w:t>Decdroctonus</w:t>
      </w:r>
      <w:proofErr w:type="spellEnd"/>
      <w:r w:rsidRPr="0096181E">
        <w:rPr>
          <w:rFonts w:eastAsia="Times New Roman" w:cs="Times New Roman"/>
          <w:i/>
          <w:iCs/>
          <w:color w:val="000000"/>
        </w:rPr>
        <w:t> </w:t>
      </w:r>
      <w:proofErr w:type="spellStart"/>
      <w:r w:rsidRPr="0096181E">
        <w:rPr>
          <w:rFonts w:eastAsia="Times New Roman" w:cs="Times New Roman"/>
          <w:color w:val="000000"/>
        </w:rPr>
        <w:t>terebrans</w:t>
      </w:r>
      <w:proofErr w:type="spellEnd"/>
      <w:r w:rsidRPr="0096181E">
        <w:rPr>
          <w:rFonts w:eastAsia="Times New Roman" w:cs="Times New Roman"/>
          <w:color w:val="000000"/>
        </w:rPr>
        <w:t xml:space="preserve">), </w:t>
      </w:r>
      <w:proofErr w:type="spellStart"/>
      <w:r w:rsidRPr="0096181E">
        <w:rPr>
          <w:rFonts w:eastAsia="Times New Roman" w:cs="Times New Roman"/>
          <w:color w:val="000000"/>
        </w:rPr>
        <w:t>Ips</w:t>
      </w:r>
      <w:proofErr w:type="spellEnd"/>
      <w:r w:rsidRPr="0096181E">
        <w:rPr>
          <w:rFonts w:eastAsia="Times New Roman" w:cs="Times New Roman"/>
          <w:color w:val="000000"/>
        </w:rPr>
        <w:t xml:space="preserve"> engraver beetle (</w:t>
      </w:r>
      <w:proofErr w:type="spellStart"/>
      <w:r w:rsidRPr="0096181E">
        <w:rPr>
          <w:rFonts w:eastAsia="Times New Roman" w:cs="Times New Roman"/>
          <w:i/>
          <w:iCs/>
          <w:color w:val="000000"/>
        </w:rPr>
        <w:t>Ips</w:t>
      </w:r>
      <w:proofErr w:type="spellEnd"/>
      <w:r w:rsidRPr="0096181E">
        <w:rPr>
          <w:rFonts w:eastAsia="Times New Roman" w:cs="Times New Roman"/>
          <w:i/>
          <w:iCs/>
          <w:color w:val="000000"/>
        </w:rPr>
        <w:t xml:space="preserve"> </w:t>
      </w:r>
      <w:proofErr w:type="spellStart"/>
      <w:r w:rsidRPr="0096181E">
        <w:rPr>
          <w:rFonts w:eastAsia="Times New Roman" w:cs="Times New Roman"/>
          <w:i/>
          <w:iCs/>
          <w:color w:val="000000"/>
        </w:rPr>
        <w:t>calligraphus</w:t>
      </w:r>
      <w:proofErr w:type="spellEnd"/>
      <w:r w:rsidRPr="0096181E">
        <w:rPr>
          <w:rFonts w:eastAsia="Times New Roman" w:cs="Times New Roman"/>
          <w:i/>
          <w:iCs/>
          <w:color w:val="000000"/>
        </w:rPr>
        <w:t xml:space="preserve">, I. </w:t>
      </w:r>
      <w:proofErr w:type="spellStart"/>
      <w:r w:rsidRPr="0096181E">
        <w:rPr>
          <w:rFonts w:eastAsia="Times New Roman" w:cs="Times New Roman"/>
          <w:i/>
          <w:iCs/>
          <w:color w:val="000000"/>
        </w:rPr>
        <w:t>grandicollis</w:t>
      </w:r>
      <w:proofErr w:type="spellEnd"/>
      <w:r w:rsidRPr="0096181E">
        <w:rPr>
          <w:rFonts w:eastAsia="Times New Roman" w:cs="Times New Roman"/>
          <w:i/>
          <w:iCs/>
          <w:color w:val="000000"/>
        </w:rPr>
        <w:t xml:space="preserve">, I. </w:t>
      </w:r>
      <w:proofErr w:type="spellStart"/>
      <w:r w:rsidRPr="0096181E">
        <w:rPr>
          <w:rFonts w:eastAsia="Times New Roman" w:cs="Times New Roman"/>
          <w:i/>
          <w:iCs/>
          <w:color w:val="000000"/>
        </w:rPr>
        <w:t>avulsus</w:t>
      </w:r>
      <w:proofErr w:type="spellEnd"/>
      <w:r w:rsidRPr="0096181E">
        <w:rPr>
          <w:rFonts w:eastAsia="Times New Roman" w:cs="Times New Roman"/>
          <w:color w:val="000000"/>
        </w:rPr>
        <w:t>), and pine tip moth (</w:t>
      </w:r>
      <w:proofErr w:type="spellStart"/>
      <w:r w:rsidRPr="0096181E">
        <w:rPr>
          <w:rFonts w:eastAsia="Times New Roman" w:cs="Times New Roman"/>
          <w:i/>
          <w:iCs/>
          <w:color w:val="000000"/>
        </w:rPr>
        <w:t>Rhyacionia</w:t>
      </w:r>
      <w:proofErr w:type="spellEnd"/>
      <w:r w:rsidRPr="0096181E">
        <w:rPr>
          <w:rFonts w:eastAsia="Times New Roman" w:cs="Times New Roman"/>
          <w:i/>
          <w:iCs/>
          <w:color w:val="000000"/>
        </w:rPr>
        <w:t xml:space="preserve"> </w:t>
      </w:r>
      <w:proofErr w:type="spellStart"/>
      <w:r w:rsidRPr="0096181E">
        <w:rPr>
          <w:rFonts w:eastAsia="Times New Roman" w:cs="Times New Roman"/>
          <w:i/>
          <w:iCs/>
          <w:color w:val="000000"/>
        </w:rPr>
        <w:t>frustrana</w:t>
      </w:r>
      <w:proofErr w:type="spellEnd"/>
      <w:r w:rsidRPr="0096181E">
        <w:rPr>
          <w:rFonts w:eastAsia="Times New Roman" w:cs="Times New Roman"/>
          <w:color w:val="000000"/>
        </w:rPr>
        <w:t>).</w:t>
      </w:r>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t> </w:t>
      </w:r>
    </w:p>
    <w:p w:rsidR="0096181E" w:rsidRPr="0096181E" w:rsidRDefault="0096181E" w:rsidP="0096181E">
      <w:pPr>
        <w:spacing w:after="0" w:line="240" w:lineRule="auto"/>
        <w:rPr>
          <w:rFonts w:eastAsia="Times New Roman" w:cs="Segoe UI"/>
          <w:color w:val="212121"/>
        </w:rPr>
      </w:pPr>
      <w:proofErr w:type="spellStart"/>
      <w:r w:rsidRPr="0096181E">
        <w:rPr>
          <w:rFonts w:eastAsia="Times New Roman" w:cs="Times New Roman"/>
          <w:color w:val="000000"/>
        </w:rPr>
        <w:t>Ips</w:t>
      </w:r>
      <w:proofErr w:type="spellEnd"/>
      <w:r w:rsidRPr="0096181E">
        <w:rPr>
          <w:rFonts w:eastAsia="Times New Roman" w:cs="Times New Roman"/>
          <w:color w:val="000000"/>
        </w:rPr>
        <w:t xml:space="preserve"> engraver beetle activity in 2017 was high due to drought conditions that occurred throughout the state.  </w:t>
      </w:r>
      <w:proofErr w:type="spellStart"/>
      <w:r w:rsidRPr="0096181E">
        <w:rPr>
          <w:rFonts w:eastAsia="Times New Roman" w:cs="Times New Roman"/>
          <w:color w:val="000000"/>
        </w:rPr>
        <w:t>Ips</w:t>
      </w:r>
      <w:proofErr w:type="spellEnd"/>
      <w:r w:rsidRPr="0096181E">
        <w:rPr>
          <w:rFonts w:eastAsia="Times New Roman" w:cs="Times New Roman"/>
          <w:color w:val="000000"/>
        </w:rPr>
        <w:t xml:space="preserve"> engraver beetles generally attack logging debris, damaged branches, and trees undergoing stress.  Infestations are normally restricted to a few trees.  However, many large infestations </w:t>
      </w:r>
      <w:proofErr w:type="gramStart"/>
      <w:r w:rsidRPr="0096181E">
        <w:rPr>
          <w:rFonts w:eastAsia="Times New Roman" w:cs="Times New Roman"/>
          <w:color w:val="000000"/>
        </w:rPr>
        <w:t>were observed</w:t>
      </w:r>
      <w:proofErr w:type="gramEnd"/>
      <w:r w:rsidRPr="0096181E">
        <w:rPr>
          <w:rFonts w:eastAsia="Times New Roman" w:cs="Times New Roman"/>
          <w:color w:val="000000"/>
        </w:rPr>
        <w:t xml:space="preserve"> in Georgia in 2017.  Infestation data gathered from the Georgia Forestry Commission (GFC) showed 278 large infestations (&gt; five acres) and 5,000 small infestations (0.1 -0.25 acres).  An estimated 6,500 acres of timber were lost to </w:t>
      </w:r>
      <w:proofErr w:type="spellStart"/>
      <w:r w:rsidRPr="0096181E">
        <w:rPr>
          <w:rFonts w:eastAsia="Times New Roman" w:cs="Times New Roman"/>
          <w:color w:val="000000"/>
        </w:rPr>
        <w:t>Ips</w:t>
      </w:r>
      <w:proofErr w:type="spellEnd"/>
      <w:r w:rsidRPr="0096181E">
        <w:rPr>
          <w:rFonts w:eastAsia="Times New Roman" w:cs="Times New Roman"/>
          <w:color w:val="000000"/>
        </w:rPr>
        <w:t xml:space="preserve"> engraver beetle infestations.  </w:t>
      </w:r>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t> </w:t>
      </w:r>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t xml:space="preserve">Thinning and prescribed burning are normal forest management practices that contribute to overall stand health and reduced insect pest issues when stands are healthy enough to withstand the stress of these activities.  However, landowners were encouraged to refrain from these practices during and shortly following the drought to reduce stress on already compromised pines.  Resuming normal stand management practices was encouraged after </w:t>
      </w:r>
      <w:proofErr w:type="gramStart"/>
      <w:r w:rsidRPr="0096181E">
        <w:rPr>
          <w:rFonts w:eastAsia="Times New Roman" w:cs="Times New Roman"/>
          <w:color w:val="000000"/>
        </w:rPr>
        <w:t>adequate rainfall and when stands have had sufficient time to recover their health and vigor</w:t>
      </w:r>
      <w:proofErr w:type="gramEnd"/>
      <w:r w:rsidRPr="0096181E">
        <w:rPr>
          <w:rFonts w:eastAsia="Times New Roman" w:cs="Times New Roman"/>
          <w:color w:val="000000"/>
        </w:rPr>
        <w:t>.</w:t>
      </w:r>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t> </w:t>
      </w:r>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lastRenderedPageBreak/>
        <w:t xml:space="preserve">Southern pine beetle was detected at 237 spots, which comprised </w:t>
      </w:r>
      <w:proofErr w:type="gramStart"/>
      <w:r w:rsidRPr="0096181E">
        <w:rPr>
          <w:rFonts w:eastAsia="Times New Roman" w:cs="Times New Roman"/>
          <w:color w:val="000000"/>
        </w:rPr>
        <w:t>a total of 325</w:t>
      </w:r>
      <w:proofErr w:type="gramEnd"/>
      <w:r w:rsidRPr="0096181E">
        <w:rPr>
          <w:rFonts w:eastAsia="Times New Roman" w:cs="Times New Roman"/>
          <w:color w:val="000000"/>
        </w:rPr>
        <w:t xml:space="preserve"> damaged acres.  Most spots were small, with 95% being less than five acres.  Paulding, Bartow, and Cherokee Counties in the northwest part of the state had the most SPB activity in Georgia.  Other spots were located in coastal and southeastern areas.</w:t>
      </w:r>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t> </w:t>
      </w:r>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t xml:space="preserve">Pine tip moth continues to be a problem in young (1-5 year) pine stands, causing delays in growth and tree form issues.  The economic value of injury caused by this pest is unknown; the trees </w:t>
      </w:r>
      <w:proofErr w:type="gramStart"/>
      <w:r w:rsidRPr="0096181E">
        <w:rPr>
          <w:rFonts w:eastAsia="Times New Roman" w:cs="Times New Roman"/>
          <w:color w:val="000000"/>
        </w:rPr>
        <w:t>are harvested</w:t>
      </w:r>
      <w:proofErr w:type="gramEnd"/>
      <w:r w:rsidRPr="0096181E">
        <w:rPr>
          <w:rFonts w:eastAsia="Times New Roman" w:cs="Times New Roman"/>
          <w:color w:val="000000"/>
        </w:rPr>
        <w:t xml:space="preserve"> approximately 20 years after the damage to young trees occurred.  Current control methods include contact insecticide sprays timed to coincide with early instar larvae and limited use of systemic insecticides.  Pine tip moth control is an area of ongoing University of Georgia research.</w:t>
      </w:r>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t> </w:t>
      </w:r>
    </w:p>
    <w:p w:rsidR="0096181E" w:rsidRPr="0096181E" w:rsidRDefault="0096181E" w:rsidP="0096181E">
      <w:pPr>
        <w:spacing w:after="0" w:line="240" w:lineRule="auto"/>
        <w:rPr>
          <w:rFonts w:eastAsia="Times New Roman" w:cs="Segoe UI"/>
          <w:color w:val="212121"/>
        </w:rPr>
      </w:pPr>
      <w:r w:rsidRPr="0096181E">
        <w:rPr>
          <w:rFonts w:eastAsia="Times New Roman" w:cs="Times New Roman"/>
          <w:color w:val="000000"/>
        </w:rPr>
        <w:t xml:space="preserve">Emerald ash borer (EAB) </w:t>
      </w:r>
      <w:proofErr w:type="gramStart"/>
      <w:r w:rsidRPr="0096181E">
        <w:rPr>
          <w:rFonts w:eastAsia="Times New Roman" w:cs="Times New Roman"/>
          <w:color w:val="000000"/>
        </w:rPr>
        <w:t>was first detected</w:t>
      </w:r>
      <w:proofErr w:type="gramEnd"/>
      <w:r w:rsidRPr="0096181E">
        <w:rPr>
          <w:rFonts w:eastAsia="Times New Roman" w:cs="Times New Roman"/>
          <w:color w:val="000000"/>
        </w:rPr>
        <w:t xml:space="preserve"> in Georgia in 2013.  In </w:t>
      </w:r>
      <w:proofErr w:type="gramStart"/>
      <w:r w:rsidRPr="0096181E">
        <w:rPr>
          <w:rFonts w:eastAsia="Times New Roman" w:cs="Times New Roman"/>
          <w:color w:val="000000"/>
        </w:rPr>
        <w:t>2017</w:t>
      </w:r>
      <w:proofErr w:type="gramEnd"/>
      <w:r w:rsidRPr="0096181E">
        <w:rPr>
          <w:rFonts w:eastAsia="Times New Roman" w:cs="Times New Roman"/>
          <w:color w:val="000000"/>
        </w:rPr>
        <w:t xml:space="preserve"> EAB was present in 23 Georgia counties, and approximately the northern 1/3 of the state was under a federal quarantine.  In December </w:t>
      </w:r>
      <w:proofErr w:type="gramStart"/>
      <w:r w:rsidRPr="0096181E">
        <w:rPr>
          <w:rFonts w:eastAsia="Times New Roman" w:cs="Times New Roman"/>
          <w:color w:val="000000"/>
        </w:rPr>
        <w:t>2017</w:t>
      </w:r>
      <w:proofErr w:type="gramEnd"/>
      <w:r w:rsidRPr="0096181E">
        <w:rPr>
          <w:rFonts w:eastAsia="Times New Roman" w:cs="Times New Roman"/>
          <w:color w:val="000000"/>
        </w:rPr>
        <w:t xml:space="preserve"> the quarantine expanded to include the entire state.  Systemic insecticides (</w:t>
      </w:r>
      <w:proofErr w:type="spellStart"/>
      <w:r w:rsidRPr="0096181E">
        <w:rPr>
          <w:rFonts w:eastAsia="Times New Roman" w:cs="Times New Roman"/>
          <w:color w:val="000000"/>
        </w:rPr>
        <w:t>imidacloprid</w:t>
      </w:r>
      <w:proofErr w:type="spellEnd"/>
      <w:r w:rsidRPr="0096181E">
        <w:rPr>
          <w:rFonts w:eastAsia="Times New Roman" w:cs="Times New Roman"/>
          <w:color w:val="000000"/>
        </w:rPr>
        <w:t xml:space="preserve">, </w:t>
      </w:r>
      <w:proofErr w:type="spellStart"/>
      <w:r w:rsidRPr="0096181E">
        <w:rPr>
          <w:rFonts w:eastAsia="Times New Roman" w:cs="Times New Roman"/>
          <w:color w:val="000000"/>
        </w:rPr>
        <w:t>dinotefuran</w:t>
      </w:r>
      <w:proofErr w:type="spellEnd"/>
      <w:r w:rsidRPr="0096181E">
        <w:rPr>
          <w:rFonts w:eastAsia="Times New Roman" w:cs="Times New Roman"/>
          <w:color w:val="000000"/>
        </w:rPr>
        <w:t xml:space="preserve">, </w:t>
      </w:r>
      <w:proofErr w:type="spellStart"/>
      <w:r w:rsidRPr="0096181E">
        <w:rPr>
          <w:rFonts w:eastAsia="Times New Roman" w:cs="Times New Roman"/>
          <w:color w:val="000000"/>
        </w:rPr>
        <w:t>emamectin</w:t>
      </w:r>
      <w:proofErr w:type="spellEnd"/>
      <w:r w:rsidRPr="0096181E">
        <w:rPr>
          <w:rFonts w:eastAsia="Times New Roman" w:cs="Times New Roman"/>
          <w:color w:val="000000"/>
        </w:rPr>
        <w:t xml:space="preserve"> benzoate) </w:t>
      </w:r>
      <w:proofErr w:type="gramStart"/>
      <w:r w:rsidRPr="0096181E">
        <w:rPr>
          <w:rFonts w:eastAsia="Times New Roman" w:cs="Times New Roman"/>
          <w:color w:val="000000"/>
        </w:rPr>
        <w:t>can be used</w:t>
      </w:r>
      <w:proofErr w:type="gramEnd"/>
      <w:r w:rsidRPr="0096181E">
        <w:rPr>
          <w:rFonts w:eastAsia="Times New Roman" w:cs="Times New Roman"/>
          <w:color w:val="000000"/>
        </w:rPr>
        <w:t xml:space="preserve"> to protect ash trees with control that ranges from 1 – 3 years, depending on the active ingredient.  Insecticide protection </w:t>
      </w:r>
      <w:proofErr w:type="gramStart"/>
      <w:r w:rsidRPr="0096181E">
        <w:rPr>
          <w:rFonts w:eastAsia="Times New Roman" w:cs="Times New Roman"/>
          <w:color w:val="000000"/>
        </w:rPr>
        <w:t>is generally only used</w:t>
      </w:r>
      <w:proofErr w:type="gramEnd"/>
      <w:r w:rsidRPr="0096181E">
        <w:rPr>
          <w:rFonts w:eastAsia="Times New Roman" w:cs="Times New Roman"/>
          <w:color w:val="000000"/>
        </w:rPr>
        <w:t xml:space="preserve"> in valuable landscape settings and for select conservation areas.</w:t>
      </w:r>
    </w:p>
    <w:p w:rsidR="0096181E" w:rsidRPr="0096181E" w:rsidRDefault="0096181E" w:rsidP="0096181E"/>
    <w:p w:rsidR="0096181E" w:rsidRPr="0096181E" w:rsidRDefault="0096181E" w:rsidP="0096181E">
      <w:pPr>
        <w:spacing w:after="0" w:line="240" w:lineRule="auto"/>
        <w:outlineLvl w:val="0"/>
        <w:rPr>
          <w:rFonts w:ascii="Calibri" w:eastAsia="Calibri" w:hAnsi="Calibri" w:cs="Times New Roman"/>
          <w:b/>
        </w:rPr>
      </w:pPr>
      <w:bookmarkStart w:id="6" w:name="_Toc509838117"/>
      <w:r w:rsidRPr="0096181E">
        <w:rPr>
          <w:b/>
        </w:rPr>
        <w:t>Livestock, Poultry, and Pets</w:t>
      </w:r>
      <w:bookmarkEnd w:id="6"/>
    </w:p>
    <w:p w:rsidR="0096181E" w:rsidRPr="0096181E" w:rsidRDefault="0096181E" w:rsidP="0096181E">
      <w:r w:rsidRPr="0096181E">
        <w:t xml:space="preserve">Among Georgia’s Top 10 agricultural commodities, five are animal agriculture – broilers, laying hens, beef cattle, dairy cattle, and horses.  Combined, the farm gate value of these five commodities is over half the state’s entire agricultural farm gate income. The figure below illustrates the significance of animal agriculture in the state. </w:t>
      </w:r>
    </w:p>
    <w:p w:rsidR="0096181E" w:rsidRPr="0096181E" w:rsidRDefault="0096181E" w:rsidP="0096181E">
      <w:pPr>
        <w:kinsoku w:val="0"/>
        <w:overflowPunct w:val="0"/>
        <w:autoSpaceDE w:val="0"/>
        <w:autoSpaceDN w:val="0"/>
        <w:adjustRightInd w:val="0"/>
        <w:spacing w:before="122" w:after="0" w:line="240" w:lineRule="auto"/>
        <w:ind w:left="2396"/>
        <w:rPr>
          <w:rFonts w:cs="Cambria"/>
        </w:rPr>
      </w:pPr>
      <w:r w:rsidRPr="0096181E">
        <w:rPr>
          <w:rFonts w:cs="Cambria"/>
          <w:b/>
          <w:bCs/>
          <w:spacing w:val="-1"/>
        </w:rPr>
        <w:t>Georgia</w:t>
      </w:r>
      <w:r w:rsidRPr="0096181E">
        <w:rPr>
          <w:rFonts w:cs="Cambria"/>
          <w:b/>
          <w:bCs/>
          <w:spacing w:val="-3"/>
        </w:rPr>
        <w:t xml:space="preserve"> </w:t>
      </w:r>
      <w:r w:rsidRPr="0096181E">
        <w:rPr>
          <w:rFonts w:cs="Cambria"/>
          <w:b/>
          <w:bCs/>
          <w:spacing w:val="-1"/>
        </w:rPr>
        <w:t>Top</w:t>
      </w:r>
      <w:r w:rsidRPr="0096181E">
        <w:rPr>
          <w:rFonts w:cs="Cambria"/>
          <w:b/>
          <w:bCs/>
          <w:spacing w:val="-2"/>
        </w:rPr>
        <w:t xml:space="preserve"> </w:t>
      </w:r>
      <w:r w:rsidRPr="0096181E">
        <w:rPr>
          <w:rFonts w:cs="Cambria"/>
          <w:b/>
          <w:bCs/>
          <w:spacing w:val="-1"/>
        </w:rPr>
        <w:t>Ten</w:t>
      </w:r>
      <w:r w:rsidRPr="0096181E">
        <w:rPr>
          <w:rFonts w:cs="Cambria"/>
          <w:b/>
          <w:bCs/>
          <w:spacing w:val="-3"/>
        </w:rPr>
        <w:t xml:space="preserve"> </w:t>
      </w:r>
      <w:r w:rsidRPr="0096181E">
        <w:rPr>
          <w:rFonts w:cs="Cambria"/>
          <w:b/>
          <w:bCs/>
          <w:spacing w:val="-1"/>
        </w:rPr>
        <w:t>Agricultural</w:t>
      </w:r>
      <w:r w:rsidRPr="0096181E">
        <w:rPr>
          <w:rFonts w:cs="Cambria"/>
          <w:b/>
          <w:bCs/>
          <w:spacing w:val="-4"/>
        </w:rPr>
        <w:t xml:space="preserve"> </w:t>
      </w:r>
      <w:r w:rsidRPr="0096181E">
        <w:rPr>
          <w:rFonts w:cs="Cambria"/>
          <w:b/>
          <w:bCs/>
          <w:spacing w:val="-1"/>
        </w:rPr>
        <w:t>Commodities</w:t>
      </w:r>
    </w:p>
    <w:p w:rsidR="0096181E" w:rsidRPr="0096181E" w:rsidRDefault="0096181E" w:rsidP="0096181E">
      <w:pPr>
        <w:kinsoku w:val="0"/>
        <w:overflowPunct w:val="0"/>
        <w:autoSpaceDE w:val="0"/>
        <w:autoSpaceDN w:val="0"/>
        <w:adjustRightInd w:val="0"/>
        <w:spacing w:before="1" w:after="0" w:line="240" w:lineRule="auto"/>
        <w:rPr>
          <w:rFonts w:cs="Cambria"/>
          <w:b/>
          <w:bCs/>
        </w:rPr>
      </w:pPr>
    </w:p>
    <w:p w:rsidR="0096181E" w:rsidRPr="0096181E" w:rsidRDefault="0096181E" w:rsidP="0096181E">
      <w:pPr>
        <w:kinsoku w:val="0"/>
        <w:overflowPunct w:val="0"/>
        <w:autoSpaceDE w:val="0"/>
        <w:autoSpaceDN w:val="0"/>
        <w:adjustRightInd w:val="0"/>
        <w:spacing w:after="0" w:line="200" w:lineRule="atLeast"/>
        <w:ind w:left="116"/>
        <w:rPr>
          <w:rFonts w:cs="Cambria"/>
        </w:rPr>
      </w:pPr>
      <w:r w:rsidRPr="0096181E">
        <w:rPr>
          <w:rFonts w:cs="Cambria"/>
          <w:noProof/>
        </w:rPr>
        <w:drawing>
          <wp:inline distT="0" distB="0" distL="0" distR="0" wp14:anchorId="7B3778B6" wp14:editId="1A1EE31E">
            <wp:extent cx="5619750" cy="345900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0" cy="3459006"/>
                    </a:xfrm>
                    <a:prstGeom prst="rect">
                      <a:avLst/>
                    </a:prstGeom>
                    <a:noFill/>
                    <a:ln>
                      <a:noFill/>
                    </a:ln>
                  </pic:spPr>
                </pic:pic>
              </a:graphicData>
            </a:graphic>
          </wp:inline>
        </w:drawing>
      </w:r>
    </w:p>
    <w:p w:rsidR="0096181E" w:rsidRPr="0096181E" w:rsidRDefault="0096181E" w:rsidP="0096181E"/>
    <w:p w:rsidR="0096181E" w:rsidRPr="0096181E" w:rsidRDefault="0096181E" w:rsidP="0096181E">
      <w:r w:rsidRPr="0096181E">
        <w:t>Beef Cattle</w:t>
      </w:r>
    </w:p>
    <w:p w:rsidR="0096181E" w:rsidRPr="0096181E" w:rsidRDefault="0096181E" w:rsidP="0096181E">
      <w:r w:rsidRPr="0096181E">
        <w:t>Georgia ranks 30th nationally in cattle production, with about a million head produced annually, amounting to a farm gate value of over a billion dollars. Horn flies (</w:t>
      </w:r>
      <w:proofErr w:type="spellStart"/>
      <w:r w:rsidRPr="0096181E">
        <w:rPr>
          <w:i/>
        </w:rPr>
        <w:t>Haematobia</w:t>
      </w:r>
      <w:proofErr w:type="spellEnd"/>
      <w:r w:rsidRPr="0096181E">
        <w:rPr>
          <w:i/>
        </w:rPr>
        <w:t xml:space="preserve"> </w:t>
      </w:r>
      <w:proofErr w:type="spellStart"/>
      <w:r w:rsidRPr="0096181E">
        <w:rPr>
          <w:i/>
        </w:rPr>
        <w:t>irritans</w:t>
      </w:r>
      <w:proofErr w:type="spellEnd"/>
      <w:r w:rsidRPr="0096181E">
        <w:t xml:space="preserve">) are the main pest of pastured cattle, causing cattle irritation and aggravation by their blood-feeding habit. More significantly, the cow’s avoidance behaviors disrupt calf nursing, meaning </w:t>
      </w:r>
      <w:proofErr w:type="gramStart"/>
      <w:r w:rsidRPr="0096181E">
        <w:t>calf weaning</w:t>
      </w:r>
      <w:proofErr w:type="gramEnd"/>
      <w:r w:rsidRPr="0096181E">
        <w:t xml:space="preserve"> weights may be reduced by 18 pounds per calf compared with calves on mother cows with good horn fly control. Statewide, annual losses to horn flies on Georgia cow-calf operations are over $14 million. Horn fly suppression is dependent on insecticides, although due to insecticide resistance there are few options that effectively reduce horn fly numbers for more than a few days.  Stable flies, the other bloodsucking fly attacking cattle, account for over $15 million in losses for Georgia cattle herds.  To control horn flies and stable flies (as well as other </w:t>
      </w:r>
      <w:proofErr w:type="spellStart"/>
      <w:r w:rsidRPr="0096181E">
        <w:t>ectoparasites</w:t>
      </w:r>
      <w:proofErr w:type="spellEnd"/>
      <w:r w:rsidRPr="0096181E">
        <w:t xml:space="preserve"> such as face flies, lice, etc.), Georgia cattlemen invest ca. $5.7 million annually.</w:t>
      </w:r>
    </w:p>
    <w:p w:rsidR="0096181E" w:rsidRPr="0096181E" w:rsidRDefault="0096181E" w:rsidP="0096181E">
      <w:r w:rsidRPr="0096181E">
        <w:t>Broilers</w:t>
      </w:r>
    </w:p>
    <w:p w:rsidR="0096181E" w:rsidRPr="0096181E" w:rsidRDefault="0096181E" w:rsidP="0096181E">
      <w:r w:rsidRPr="0096181E">
        <w:t xml:space="preserve">Georgia continues to be the nation’s number 1 broiler producing state. Broilers rank at the top of Georgia’s agricultural commodities, bringing in $4.4 billion annually, or 32% of the state’s farm gate value.  </w:t>
      </w:r>
    </w:p>
    <w:p w:rsidR="0096181E" w:rsidRPr="0096181E" w:rsidRDefault="0096181E" w:rsidP="0096181E">
      <w:r w:rsidRPr="0096181E">
        <w:t>Worldwide, darkling beetles (</w:t>
      </w:r>
      <w:proofErr w:type="spellStart"/>
      <w:r w:rsidRPr="0096181E">
        <w:rPr>
          <w:i/>
        </w:rPr>
        <w:t>Alphitobius</w:t>
      </w:r>
      <w:proofErr w:type="spellEnd"/>
      <w:r w:rsidRPr="0096181E">
        <w:rPr>
          <w:i/>
        </w:rPr>
        <w:t xml:space="preserve"> </w:t>
      </w:r>
      <w:proofErr w:type="spellStart"/>
      <w:r w:rsidRPr="0096181E">
        <w:rPr>
          <w:i/>
        </w:rPr>
        <w:t>diaperinus</w:t>
      </w:r>
      <w:proofErr w:type="spellEnd"/>
      <w:r w:rsidRPr="0096181E">
        <w:t xml:space="preserve">), whose larvae are known as lesser mealworms, are the primary pest of broiler production.  These insects burrow into insulation to pupate, damaging facilities and lowering </w:t>
      </w:r>
      <w:proofErr w:type="spellStart"/>
      <w:r w:rsidRPr="0096181E">
        <w:t>insulative</w:t>
      </w:r>
      <w:proofErr w:type="spellEnd"/>
      <w:r w:rsidRPr="0096181E">
        <w:t xml:space="preserve"> capacity.  Costs of keeping heat in the buildings during winter and out in summer significantly increase production costs.  When litter </w:t>
      </w:r>
      <w:proofErr w:type="gramStart"/>
      <w:r w:rsidRPr="0096181E">
        <w:t>is removed and applied to pastures</w:t>
      </w:r>
      <w:proofErr w:type="gramEnd"/>
      <w:r w:rsidRPr="0096181E">
        <w:t xml:space="preserve"> or fields as soil amendment, beetles are distributed and may migrate to nearby homes, creating neighborhood friction.  Lesser mealworms feed on dead birds and feces, thereby acquiring numerous </w:t>
      </w:r>
      <w:proofErr w:type="gramStart"/>
      <w:r w:rsidRPr="0096181E">
        <w:t>pathogens which</w:t>
      </w:r>
      <w:proofErr w:type="gramEnd"/>
      <w:r w:rsidRPr="0096181E">
        <w:t xml:space="preserve"> they can transfer to uninfected birds when consumed.  They also maintain Salmonella in their guts during pupation, so that newly emerged adult beetles are infectious to chickens.  Chickens are predators and prone to eating insects; filling their digestive tracts with indigestible beetles prevents their consuming nutritious feed and gaining weight, as meat birds are intended to do.   </w:t>
      </w:r>
      <w:proofErr w:type="spellStart"/>
      <w:r w:rsidRPr="0096181E">
        <w:rPr>
          <w:i/>
        </w:rPr>
        <w:t>Alphitobius</w:t>
      </w:r>
      <w:proofErr w:type="spellEnd"/>
      <w:r w:rsidRPr="0096181E">
        <w:rPr>
          <w:i/>
        </w:rPr>
        <w:t xml:space="preserve"> </w:t>
      </w:r>
      <w:r w:rsidRPr="0096181E">
        <w:t xml:space="preserve">populations worldwide </w:t>
      </w:r>
      <w:proofErr w:type="gramStart"/>
      <w:r w:rsidRPr="0096181E">
        <w:t>have been shown</w:t>
      </w:r>
      <w:proofErr w:type="gramEnd"/>
      <w:r w:rsidRPr="0096181E">
        <w:t xml:space="preserve"> resistant to most of the pesticides registered for their suppression, so management strategies are extremely limited.  Suppression efforts have some effect on beetle numbers, but </w:t>
      </w:r>
      <w:proofErr w:type="gramStart"/>
      <w:r w:rsidRPr="0096181E">
        <w:t>there are no tactics that significantly reduce beetle populations</w:t>
      </w:r>
      <w:proofErr w:type="gramEnd"/>
      <w:r w:rsidRPr="0096181E">
        <w:t xml:space="preserve">.  </w:t>
      </w:r>
    </w:p>
    <w:p w:rsidR="0096181E" w:rsidRPr="0096181E" w:rsidRDefault="0096181E" w:rsidP="0096181E">
      <w:r w:rsidRPr="0096181E">
        <w:t xml:space="preserve">All 12,000 Georgia broiler houses </w:t>
      </w:r>
      <w:proofErr w:type="gramStart"/>
      <w:r w:rsidRPr="0096181E">
        <w:t>are infested</w:t>
      </w:r>
      <w:proofErr w:type="gramEnd"/>
      <w:r w:rsidRPr="0096181E">
        <w:t xml:space="preserve"> with darkling beetles, and broiler producers spend approximately $9 million annually for </w:t>
      </w:r>
      <w:proofErr w:type="spellStart"/>
      <w:r w:rsidRPr="0096181E">
        <w:rPr>
          <w:i/>
        </w:rPr>
        <w:t>Alphitobius</w:t>
      </w:r>
      <w:proofErr w:type="spellEnd"/>
      <w:r w:rsidRPr="0096181E">
        <w:rPr>
          <w:i/>
        </w:rPr>
        <w:t xml:space="preserve"> </w:t>
      </w:r>
      <w:r w:rsidRPr="0096181E">
        <w:t xml:space="preserve">suppression.  Statewide, losses to the beetles </w:t>
      </w:r>
      <w:proofErr w:type="gramStart"/>
      <w:r w:rsidRPr="0096181E">
        <w:t>are estimated</w:t>
      </w:r>
      <w:proofErr w:type="gramEnd"/>
      <w:r w:rsidRPr="0096181E">
        <w:t xml:space="preserve"> at $4.5 million annually; lost production and control costs total ca. $13.5 million annually in the state.  Again, even the most conscientious and strategic intervention strategy is ineffective at suppressing </w:t>
      </w:r>
      <w:proofErr w:type="spellStart"/>
      <w:r w:rsidRPr="0096181E">
        <w:rPr>
          <w:i/>
        </w:rPr>
        <w:t>Alphitobius</w:t>
      </w:r>
      <w:proofErr w:type="spellEnd"/>
      <w:r w:rsidRPr="0096181E">
        <w:t xml:space="preserve"> beetles with current products and technology.</w:t>
      </w:r>
    </w:p>
    <w:p w:rsidR="0096181E" w:rsidRPr="0096181E" w:rsidRDefault="0096181E" w:rsidP="0096181E">
      <w:r w:rsidRPr="0096181E">
        <w:t xml:space="preserve">Caged Layers </w:t>
      </w:r>
    </w:p>
    <w:p w:rsidR="0096181E" w:rsidRPr="0096181E" w:rsidRDefault="0096181E" w:rsidP="0096181E">
      <w:r w:rsidRPr="0096181E">
        <w:lastRenderedPageBreak/>
        <w:t xml:space="preserve">Table eggs are Georgia’s </w:t>
      </w:r>
      <w:proofErr w:type="gramStart"/>
      <w:r w:rsidRPr="0096181E">
        <w:t>2nd</w:t>
      </w:r>
      <w:proofErr w:type="gramEnd"/>
      <w:r w:rsidRPr="0096181E">
        <w:t xml:space="preserve"> most lucrative commodity, with an annual value to the state of over $937 million (ranking Georgia 6th nationally).   The principal pest in caged layer houses is the </w:t>
      </w:r>
      <w:proofErr w:type="gramStart"/>
      <w:r w:rsidRPr="0096181E">
        <w:t>house fly</w:t>
      </w:r>
      <w:proofErr w:type="gramEnd"/>
      <w:r w:rsidRPr="0096181E">
        <w:t xml:space="preserve"> (</w:t>
      </w:r>
      <w:r w:rsidRPr="0096181E">
        <w:rPr>
          <w:i/>
        </w:rPr>
        <w:t xml:space="preserve">Musca </w:t>
      </w:r>
      <w:proofErr w:type="spellStart"/>
      <w:r w:rsidRPr="0096181E">
        <w:rPr>
          <w:i/>
        </w:rPr>
        <w:t>domestica</w:t>
      </w:r>
      <w:proofErr w:type="spellEnd"/>
      <w:r w:rsidRPr="0096181E">
        <w:t xml:space="preserve">), which causes spotting of eggs, degradation of equipment through fecal contamination, and neighborhood consternation when flies migrate away from the poultry farm to nearby residences.  Because of suitable conditions inside layer houses, </w:t>
      </w:r>
      <w:proofErr w:type="gramStart"/>
      <w:r w:rsidRPr="0096181E">
        <w:t>house flies</w:t>
      </w:r>
      <w:proofErr w:type="gramEnd"/>
      <w:r w:rsidRPr="0096181E">
        <w:t xml:space="preserve"> can be a year-round problem.  Producers use manure and water management, trapping, biological control (fly parasitoids and predators), and various pesticides to suppress </w:t>
      </w:r>
      <w:proofErr w:type="gramStart"/>
      <w:r w:rsidRPr="0096181E">
        <w:t>house flies</w:t>
      </w:r>
      <w:proofErr w:type="gramEnd"/>
      <w:r w:rsidRPr="0096181E">
        <w:t xml:space="preserve"> around caged layer operations.  Worldwide, </w:t>
      </w:r>
      <w:proofErr w:type="gramStart"/>
      <w:r w:rsidRPr="0096181E">
        <w:t>house flies</w:t>
      </w:r>
      <w:proofErr w:type="gramEnd"/>
      <w:r w:rsidRPr="0096181E">
        <w:t xml:space="preserve"> have been shown resistant to most insecticides, so control is seldom adequate.  Losses due to flies combined with costs of management </w:t>
      </w:r>
      <w:proofErr w:type="gramStart"/>
      <w:r w:rsidRPr="0096181E">
        <w:t>are estimated</w:t>
      </w:r>
      <w:proofErr w:type="gramEnd"/>
      <w:r w:rsidRPr="0096181E">
        <w:t xml:space="preserve"> to total $6.97 million annually.</w:t>
      </w:r>
    </w:p>
    <w:p w:rsidR="0096181E" w:rsidRPr="0096181E" w:rsidRDefault="0096181E" w:rsidP="0096181E">
      <w:r w:rsidRPr="0096181E">
        <w:t>Northern fowl mites (</w:t>
      </w:r>
      <w:proofErr w:type="spellStart"/>
      <w:r w:rsidRPr="0096181E">
        <w:rPr>
          <w:i/>
        </w:rPr>
        <w:t>Ornithonyssus</w:t>
      </w:r>
      <w:proofErr w:type="spellEnd"/>
      <w:r w:rsidRPr="0096181E">
        <w:rPr>
          <w:i/>
        </w:rPr>
        <w:t xml:space="preserve"> </w:t>
      </w:r>
      <w:proofErr w:type="spellStart"/>
      <w:r w:rsidRPr="0096181E">
        <w:rPr>
          <w:i/>
        </w:rPr>
        <w:t>sylviarum</w:t>
      </w:r>
      <w:proofErr w:type="spellEnd"/>
      <w:r w:rsidRPr="0096181E">
        <w:t xml:space="preserve">) are the second most significant pest in layer flocks.  These mites are bloodsuckers that spend their entire life cycle on the chicken host, causing itching, scabbing, anemia, and general bird discomfort and lack of thriftiness.  Losses due to reduced feed conversion efficiency and reduced egg production </w:t>
      </w:r>
      <w:proofErr w:type="gramStart"/>
      <w:r w:rsidRPr="0096181E">
        <w:t>are estimated</w:t>
      </w:r>
      <w:proofErr w:type="gramEnd"/>
      <w:r w:rsidRPr="0096181E">
        <w:t xml:space="preserve"> at $1.75 million annually, while suppression costs (primarily </w:t>
      </w:r>
      <w:proofErr w:type="spellStart"/>
      <w:r w:rsidRPr="0096181E">
        <w:t>acaricides</w:t>
      </w:r>
      <w:proofErr w:type="spellEnd"/>
      <w:r w:rsidRPr="0096181E">
        <w:t>) are about $1.7 million per year. Total cost is $3.45 million statewide annually.</w:t>
      </w:r>
    </w:p>
    <w:p w:rsidR="0096181E" w:rsidRPr="0096181E" w:rsidRDefault="0096181E" w:rsidP="0096181E">
      <w:r w:rsidRPr="0096181E">
        <w:t>Pets</w:t>
      </w:r>
    </w:p>
    <w:p w:rsidR="0096181E" w:rsidRPr="0096181E" w:rsidRDefault="0096181E" w:rsidP="0096181E">
      <w:r w:rsidRPr="0096181E">
        <w:t xml:space="preserve">Approximately 3.5 million Georgia households have dogs and cats.  The three major arthropod pests affecting pets are fleas, ticks, and mosquitoes.  Because fleas transmit tapeworms, ticks transmit pathogens such as </w:t>
      </w:r>
      <w:proofErr w:type="spellStart"/>
      <w:r w:rsidRPr="0096181E">
        <w:rPr>
          <w:i/>
        </w:rPr>
        <w:t>Ehrlichia</w:t>
      </w:r>
      <w:proofErr w:type="spellEnd"/>
      <w:r w:rsidRPr="0096181E">
        <w:t xml:space="preserve">, and mosquitoes carry heartworm, pest suppression is essential </w:t>
      </w:r>
      <w:proofErr w:type="gramStart"/>
      <w:r w:rsidRPr="0096181E">
        <w:t>for disease prevention and to maintain pet health</w:t>
      </w:r>
      <w:proofErr w:type="gramEnd"/>
      <w:r w:rsidRPr="0096181E">
        <w:t xml:space="preserve">.  In Georgia, expenditures for </w:t>
      </w:r>
      <w:proofErr w:type="spellStart"/>
      <w:r w:rsidRPr="0096181E">
        <w:t>ectoparasite</w:t>
      </w:r>
      <w:proofErr w:type="spellEnd"/>
      <w:r w:rsidRPr="0096181E">
        <w:t xml:space="preserve"> control on dogs and cats amount to over $128 million annually.</w:t>
      </w:r>
    </w:p>
    <w:p w:rsidR="0096181E" w:rsidRPr="0096181E" w:rsidRDefault="0096181E" w:rsidP="0096181E">
      <w:pPr>
        <w:spacing w:after="0" w:line="240" w:lineRule="auto"/>
        <w:outlineLvl w:val="0"/>
        <w:rPr>
          <w:b/>
        </w:rPr>
      </w:pPr>
      <w:bookmarkStart w:id="7" w:name="_Toc509838118"/>
      <w:r w:rsidRPr="0096181E">
        <w:rPr>
          <w:b/>
        </w:rPr>
        <w:t>Peach</w:t>
      </w:r>
      <w:bookmarkEnd w:id="7"/>
    </w:p>
    <w:p w:rsidR="0096181E" w:rsidRPr="0096181E" w:rsidRDefault="0096181E" w:rsidP="0096181E">
      <w:pPr>
        <w:spacing w:after="0"/>
      </w:pPr>
      <w:r w:rsidRPr="0096181E">
        <w:t>Pest pressure from fruit-attacking insect pests, such as plum curculio (</w:t>
      </w:r>
      <w:proofErr w:type="spellStart"/>
      <w:r w:rsidRPr="0096181E">
        <w:rPr>
          <w:i/>
        </w:rPr>
        <w:t>Conotrachelus</w:t>
      </w:r>
      <w:proofErr w:type="spellEnd"/>
      <w:r w:rsidRPr="0096181E">
        <w:rPr>
          <w:i/>
        </w:rPr>
        <w:t xml:space="preserve"> </w:t>
      </w:r>
      <w:proofErr w:type="spellStart"/>
      <w:r w:rsidRPr="0096181E">
        <w:rPr>
          <w:i/>
        </w:rPr>
        <w:t>nenuphar</w:t>
      </w:r>
      <w:proofErr w:type="spellEnd"/>
      <w:r w:rsidRPr="0096181E">
        <w:t>), Oriental fruit moth (</w:t>
      </w:r>
      <w:proofErr w:type="spellStart"/>
      <w:r w:rsidRPr="0096181E">
        <w:rPr>
          <w:i/>
        </w:rPr>
        <w:t>Grapholita</w:t>
      </w:r>
      <w:proofErr w:type="spellEnd"/>
      <w:r w:rsidRPr="0096181E">
        <w:rPr>
          <w:i/>
        </w:rPr>
        <w:t xml:space="preserve"> </w:t>
      </w:r>
      <w:proofErr w:type="spellStart"/>
      <w:r w:rsidRPr="0096181E">
        <w:rPr>
          <w:i/>
        </w:rPr>
        <w:t>molesta</w:t>
      </w:r>
      <w:proofErr w:type="spellEnd"/>
      <w:r w:rsidRPr="0096181E">
        <w:t xml:space="preserve">), assorted stink bugs, and green June beetles in peach orchards across GA &amp; SC was light to moderate in 2017, in part due to the substantial crop loss (due to freeze damage) across the Southeast. Premature tree decline associated with scale, lesser </w:t>
      </w:r>
      <w:proofErr w:type="spellStart"/>
      <w:r w:rsidRPr="0096181E">
        <w:t>peachtree</w:t>
      </w:r>
      <w:proofErr w:type="spellEnd"/>
      <w:r w:rsidRPr="0096181E">
        <w:t xml:space="preserve"> borer, and </w:t>
      </w:r>
      <w:proofErr w:type="spellStart"/>
      <w:r w:rsidRPr="0096181E">
        <w:t>peachtree</w:t>
      </w:r>
      <w:proofErr w:type="spellEnd"/>
      <w:r w:rsidRPr="0096181E">
        <w:t xml:space="preserve"> borer continues to cause serious losses. Cover sprays do little to control/suppress these key tree pests. Scale insects, such as San Jose scale (</w:t>
      </w:r>
      <w:proofErr w:type="spellStart"/>
      <w:r w:rsidRPr="0096181E">
        <w:rPr>
          <w:i/>
        </w:rPr>
        <w:t>Comstockaspis</w:t>
      </w:r>
      <w:proofErr w:type="spellEnd"/>
      <w:r w:rsidRPr="0096181E">
        <w:rPr>
          <w:i/>
        </w:rPr>
        <w:t xml:space="preserve"> </w:t>
      </w:r>
      <w:proofErr w:type="spellStart"/>
      <w:r w:rsidRPr="0096181E">
        <w:rPr>
          <w:i/>
        </w:rPr>
        <w:t>perniciosus</w:t>
      </w:r>
      <w:proofErr w:type="spellEnd"/>
      <w:r w:rsidRPr="0096181E">
        <w:t xml:space="preserve">) in particular, are increasingly damaging. Scale control is very demanding but doable with rigorous application of dormant oils followed </w:t>
      </w:r>
      <w:proofErr w:type="gramStart"/>
      <w:r w:rsidRPr="0096181E">
        <w:t>by block-specific responses with an insect growth regulator application for scale outbreaks through October</w:t>
      </w:r>
      <w:proofErr w:type="gramEnd"/>
      <w:r w:rsidRPr="0096181E">
        <w:t xml:space="preserve">. Regardless, every orchard needs to receive two dormant, dilute oil applications (200 gals/acre) applied at a low tractor speed (2-3 mph) each year. Prompt, aggressive, often multi-step follow-ups are required wherever outbreaks </w:t>
      </w:r>
      <w:proofErr w:type="gramStart"/>
      <w:r w:rsidRPr="0096181E">
        <w:t>are observed</w:t>
      </w:r>
      <w:proofErr w:type="gramEnd"/>
      <w:r w:rsidRPr="0096181E">
        <w:t xml:space="preserve">. </w:t>
      </w:r>
    </w:p>
    <w:p w:rsidR="0096181E" w:rsidRPr="0096181E" w:rsidRDefault="0096181E" w:rsidP="0096181E">
      <w:pPr>
        <w:spacing w:after="0"/>
      </w:pPr>
    </w:p>
    <w:p w:rsidR="0096181E" w:rsidRPr="0096181E" w:rsidRDefault="0096181E" w:rsidP="0096181E">
      <w:pPr>
        <w:spacing w:after="0"/>
      </w:pPr>
      <w:r w:rsidRPr="0096181E">
        <w:t xml:space="preserve">Lesser </w:t>
      </w:r>
      <w:proofErr w:type="spellStart"/>
      <w:r w:rsidRPr="0096181E">
        <w:t>peachtree</w:t>
      </w:r>
      <w:proofErr w:type="spellEnd"/>
      <w:r w:rsidRPr="0096181E">
        <w:t xml:space="preserve"> borer (</w:t>
      </w:r>
      <w:proofErr w:type="spellStart"/>
      <w:r w:rsidRPr="0096181E">
        <w:rPr>
          <w:i/>
        </w:rPr>
        <w:t>Synanthedon</w:t>
      </w:r>
      <w:proofErr w:type="spellEnd"/>
      <w:r w:rsidRPr="0096181E">
        <w:rPr>
          <w:i/>
        </w:rPr>
        <w:t xml:space="preserve"> </w:t>
      </w:r>
      <w:proofErr w:type="spellStart"/>
      <w:r w:rsidRPr="0096181E">
        <w:rPr>
          <w:i/>
        </w:rPr>
        <w:t>pictipes</w:t>
      </w:r>
      <w:proofErr w:type="spellEnd"/>
      <w:r w:rsidRPr="0096181E">
        <w:t xml:space="preserve">) control is stable where dilute, pre-bloom </w:t>
      </w:r>
      <w:proofErr w:type="spellStart"/>
      <w:r w:rsidRPr="0096181E">
        <w:t>chlorpyrifos</w:t>
      </w:r>
      <w:proofErr w:type="spellEnd"/>
      <w:r w:rsidRPr="0096181E">
        <w:t xml:space="preserve"> sprays </w:t>
      </w:r>
      <w:proofErr w:type="gramStart"/>
      <w:r w:rsidRPr="0096181E">
        <w:t>are complimented</w:t>
      </w:r>
      <w:proofErr w:type="gramEnd"/>
      <w:r w:rsidRPr="0096181E">
        <w:t xml:space="preserve"> by in-season cover sprays and a post-harvest application of </w:t>
      </w:r>
      <w:proofErr w:type="spellStart"/>
      <w:r w:rsidRPr="0096181E">
        <w:t>chlorpyrifos</w:t>
      </w:r>
      <w:proofErr w:type="spellEnd"/>
      <w:r w:rsidRPr="0096181E">
        <w:t>. Peachtree borer (</w:t>
      </w:r>
      <w:proofErr w:type="spellStart"/>
      <w:r w:rsidRPr="0096181E">
        <w:rPr>
          <w:i/>
        </w:rPr>
        <w:t>Synanthedon</w:t>
      </w:r>
      <w:proofErr w:type="spellEnd"/>
      <w:r w:rsidRPr="0096181E">
        <w:rPr>
          <w:i/>
        </w:rPr>
        <w:t xml:space="preserve"> </w:t>
      </w:r>
      <w:proofErr w:type="spellStart"/>
      <w:r w:rsidRPr="0096181E">
        <w:rPr>
          <w:i/>
        </w:rPr>
        <w:t>exitiosa</w:t>
      </w:r>
      <w:proofErr w:type="spellEnd"/>
      <w:r w:rsidRPr="0096181E">
        <w:t>) infestations are worsening. Peachtree borer populations (</w:t>
      </w:r>
      <w:proofErr w:type="spellStart"/>
      <w:r w:rsidRPr="0096181E">
        <w:t>univoltine</w:t>
      </w:r>
      <w:proofErr w:type="spellEnd"/>
      <w:r w:rsidRPr="0096181E">
        <w:t xml:space="preserve">) are now showing the same upward population trends previously seen with the </w:t>
      </w:r>
      <w:proofErr w:type="spellStart"/>
      <w:r w:rsidRPr="0096181E">
        <w:t>multivoltine</w:t>
      </w:r>
      <w:proofErr w:type="spellEnd"/>
      <w:r w:rsidRPr="0096181E">
        <w:t xml:space="preserve"> lesser </w:t>
      </w:r>
      <w:proofErr w:type="spellStart"/>
      <w:r w:rsidRPr="0096181E">
        <w:t>peachtree</w:t>
      </w:r>
      <w:proofErr w:type="spellEnd"/>
      <w:r w:rsidRPr="0096181E">
        <w:t xml:space="preserve"> borer. Utilization of safer, but less effective, organophosphate-replacement cover </w:t>
      </w:r>
      <w:r w:rsidRPr="0096181E">
        <w:lastRenderedPageBreak/>
        <w:t xml:space="preserve">sprays for the past 15+ years appears to be the key element in the emergence of these previously well-controlled species as primary tree-killing insect pests. Utilizing the female sex pheromone of lesser </w:t>
      </w:r>
      <w:proofErr w:type="spellStart"/>
      <w:r w:rsidRPr="0096181E">
        <w:t>peachtree</w:t>
      </w:r>
      <w:proofErr w:type="spellEnd"/>
      <w:r w:rsidRPr="0096181E">
        <w:t xml:space="preserve"> borer for mating disruption of lesser </w:t>
      </w:r>
      <w:proofErr w:type="spellStart"/>
      <w:r w:rsidRPr="0096181E">
        <w:t>peachtree</w:t>
      </w:r>
      <w:proofErr w:type="spellEnd"/>
      <w:r w:rsidRPr="0096181E">
        <w:t xml:space="preserve"> borer and </w:t>
      </w:r>
      <w:proofErr w:type="spellStart"/>
      <w:r w:rsidRPr="0096181E">
        <w:t>peachtree</w:t>
      </w:r>
      <w:proofErr w:type="spellEnd"/>
      <w:r w:rsidRPr="0096181E">
        <w:t xml:space="preserve"> borer is an effective management strategy in the Mid-Atlantic and Upper Mid-Western peach production areas, but this technology has struggled or failed with our higher pest abundance and longer, warmer growing seasons. Cottrell et al. at the USDA-ARS have worked for years to adapt mating disruption to the southeastern lesser </w:t>
      </w:r>
      <w:proofErr w:type="spellStart"/>
      <w:r w:rsidRPr="0096181E">
        <w:t>peachtree</w:t>
      </w:r>
      <w:proofErr w:type="spellEnd"/>
      <w:r w:rsidRPr="0096181E">
        <w:t xml:space="preserve"> borer and </w:t>
      </w:r>
      <w:proofErr w:type="spellStart"/>
      <w:r w:rsidRPr="0096181E">
        <w:t>peachtree</w:t>
      </w:r>
      <w:proofErr w:type="spellEnd"/>
      <w:r w:rsidRPr="0096181E">
        <w:t xml:space="preserve"> borer complex. Results from a multi-year, 800+ acre, on-farm </w:t>
      </w:r>
      <w:proofErr w:type="spellStart"/>
      <w:r w:rsidRPr="0096181E">
        <w:t>peachtree</w:t>
      </w:r>
      <w:proofErr w:type="spellEnd"/>
      <w:r w:rsidRPr="0096181E">
        <w:t xml:space="preserve"> borer and lesser </w:t>
      </w:r>
      <w:proofErr w:type="spellStart"/>
      <w:r w:rsidRPr="0096181E">
        <w:t>peachtree</w:t>
      </w:r>
      <w:proofErr w:type="spellEnd"/>
      <w:r w:rsidRPr="0096181E">
        <w:t xml:space="preserve"> borer mating disruption trial are very promising. As such, the southeastern-formulated mating disruption pheromone, </w:t>
      </w:r>
      <w:proofErr w:type="spellStart"/>
      <w:r w:rsidRPr="0096181E">
        <w:t>Isomate</w:t>
      </w:r>
      <w:proofErr w:type="spellEnd"/>
      <w:r w:rsidRPr="0096181E">
        <w:t xml:space="preserve"> LPTB Plus, </w:t>
      </w:r>
      <w:proofErr w:type="gramStart"/>
      <w:r w:rsidRPr="0096181E">
        <w:t>has been registered</w:t>
      </w:r>
      <w:proofErr w:type="gramEnd"/>
      <w:r w:rsidRPr="0096181E">
        <w:t xml:space="preserve"> for use in Georgia and South Carolina for the 2018 season. Additionally, Shapiro-</w:t>
      </w:r>
      <w:proofErr w:type="spellStart"/>
      <w:r w:rsidRPr="0096181E">
        <w:t>Ilan</w:t>
      </w:r>
      <w:proofErr w:type="spellEnd"/>
      <w:r w:rsidRPr="0096181E">
        <w:t xml:space="preserve"> at the USDA-ARS is investigating curative applications of </w:t>
      </w:r>
      <w:proofErr w:type="spellStart"/>
      <w:r w:rsidRPr="0096181E">
        <w:t>entomopathogenic</w:t>
      </w:r>
      <w:proofErr w:type="spellEnd"/>
      <w:r w:rsidRPr="0096181E">
        <w:t xml:space="preserve"> nematodes for </w:t>
      </w:r>
      <w:proofErr w:type="spellStart"/>
      <w:r w:rsidRPr="0096181E">
        <w:t>peachtree</w:t>
      </w:r>
      <w:proofErr w:type="spellEnd"/>
      <w:r w:rsidRPr="0096181E">
        <w:t xml:space="preserve"> borer and lesser </w:t>
      </w:r>
      <w:proofErr w:type="spellStart"/>
      <w:r w:rsidRPr="0096181E">
        <w:t>peachtree</w:t>
      </w:r>
      <w:proofErr w:type="spellEnd"/>
      <w:r w:rsidRPr="0096181E">
        <w:t xml:space="preserve"> borers, which has shown promise on established infestations when used with an appropriate anti-desiccant to keep the borer wounds moist long enough for the nematodes to find larvae.</w:t>
      </w:r>
    </w:p>
    <w:p w:rsidR="0096181E" w:rsidRPr="0096181E" w:rsidRDefault="0096181E" w:rsidP="0096181E">
      <w:pPr>
        <w:spacing w:after="0"/>
      </w:pPr>
    </w:p>
    <w:p w:rsidR="0096181E" w:rsidRPr="0096181E" w:rsidRDefault="0096181E" w:rsidP="0096181E">
      <w:pPr>
        <w:spacing w:after="0"/>
      </w:pPr>
      <w:r w:rsidRPr="0096181E">
        <w:t>A sap beetle (</w:t>
      </w:r>
      <w:proofErr w:type="spellStart"/>
      <w:r w:rsidRPr="0096181E">
        <w:rPr>
          <w:i/>
        </w:rPr>
        <w:t>Carpophilus</w:t>
      </w:r>
      <w:proofErr w:type="spellEnd"/>
      <w:r w:rsidRPr="0096181E">
        <w:rPr>
          <w:i/>
        </w:rPr>
        <w:t xml:space="preserve"> </w:t>
      </w:r>
      <w:r w:rsidRPr="0096181E">
        <w:t>spp.) and picnic beetle (</w:t>
      </w:r>
      <w:proofErr w:type="spellStart"/>
      <w:r w:rsidRPr="0096181E">
        <w:rPr>
          <w:i/>
        </w:rPr>
        <w:t>Glischrochilus</w:t>
      </w:r>
      <w:proofErr w:type="spellEnd"/>
      <w:r w:rsidRPr="0096181E">
        <w:rPr>
          <w:i/>
        </w:rPr>
        <w:t xml:space="preserve"> </w:t>
      </w:r>
      <w:r w:rsidRPr="0096181E">
        <w:t xml:space="preserve">spp.) complex has emerged in recent years as an occasional, but where severe, damaging and difficult to control pest of sound, ripening mid- and late-season peaches. Problems seem to be more severe in wet years. In the fall of 2016, a graduate student began a project to identify the species and </w:t>
      </w:r>
      <w:proofErr w:type="spellStart"/>
      <w:r w:rsidRPr="0096181E">
        <w:t>phenologies</w:t>
      </w:r>
      <w:proofErr w:type="spellEnd"/>
      <w:r w:rsidRPr="0096181E">
        <w:t xml:space="preserve"> of the beetles attacking peaches and to develop a key to help growers detect, identify, and manage sap/picnic beetles in their orchards.   </w:t>
      </w:r>
    </w:p>
    <w:p w:rsidR="0096181E" w:rsidRPr="0096181E" w:rsidRDefault="0096181E" w:rsidP="0096181E"/>
    <w:p w:rsidR="0096181E" w:rsidRPr="0096181E" w:rsidRDefault="0096181E" w:rsidP="0096181E">
      <w:pPr>
        <w:spacing w:after="0" w:line="240" w:lineRule="auto"/>
        <w:outlineLvl w:val="0"/>
        <w:rPr>
          <w:b/>
        </w:rPr>
      </w:pPr>
      <w:bookmarkStart w:id="8" w:name="_Toc509838119"/>
      <w:r w:rsidRPr="0096181E">
        <w:rPr>
          <w:b/>
        </w:rPr>
        <w:t>Peanut</w:t>
      </w:r>
      <w:bookmarkEnd w:id="8"/>
    </w:p>
    <w:p w:rsidR="0096181E" w:rsidRPr="0096181E" w:rsidRDefault="0096181E" w:rsidP="0096181E">
      <w:r w:rsidRPr="0096181E">
        <w:t xml:space="preserve">Insect pest problems in Georgia peanut were sporadic in 2017. </w:t>
      </w:r>
      <w:proofErr w:type="spellStart"/>
      <w:r w:rsidRPr="0096181E">
        <w:t>Thrips</w:t>
      </w:r>
      <w:proofErr w:type="spellEnd"/>
      <w:r w:rsidRPr="0096181E">
        <w:t xml:space="preserve"> pressure was generally light, though the pest was present at most locations. The incidence of Tomato Spotted Wilt Virus was greater in the southeast portion of the state’s growing region in 2017 than it had been in several years. The use of liquid </w:t>
      </w:r>
      <w:proofErr w:type="spellStart"/>
      <w:r w:rsidRPr="0096181E">
        <w:t>imidacloprid</w:t>
      </w:r>
      <w:proofErr w:type="spellEnd"/>
      <w:r w:rsidRPr="0096181E">
        <w:t xml:space="preserve"> in the furrow at-plant continues to gain popularity with growers and is the second most common use pattern for </w:t>
      </w:r>
      <w:proofErr w:type="spellStart"/>
      <w:r w:rsidRPr="0096181E">
        <w:t>thrips</w:t>
      </w:r>
      <w:proofErr w:type="spellEnd"/>
      <w:r w:rsidRPr="0096181E">
        <w:t xml:space="preserve"> management after granular </w:t>
      </w:r>
      <w:proofErr w:type="spellStart"/>
      <w:r w:rsidRPr="0096181E">
        <w:t>phorate</w:t>
      </w:r>
      <w:proofErr w:type="spellEnd"/>
      <w:r w:rsidRPr="0096181E">
        <w:t xml:space="preserve"> in-furrow. Lesser cornstalk borer populations increased quickly in mid-May but declined after three weeks of widespread rainfall into the third week of June. While whiteflies </w:t>
      </w:r>
      <w:proofErr w:type="gramStart"/>
      <w:r w:rsidRPr="0096181E">
        <w:t>were seen</w:t>
      </w:r>
      <w:proofErr w:type="gramEnd"/>
      <w:r w:rsidRPr="0096181E">
        <w:t xml:space="preserve"> in peanut fields, infestations did not reach economic importance. </w:t>
      </w:r>
      <w:proofErr w:type="gramStart"/>
      <w:r w:rsidRPr="0096181E">
        <w:t>2017</w:t>
      </w:r>
      <w:proofErr w:type="gramEnd"/>
      <w:r w:rsidRPr="0096181E">
        <w:t xml:space="preserve"> was the second year in a row with increased incidence of rootworm (spotted and banded cucumber beetle) and wireworm (various species) injury. Few control options exist for these soil pests in peanut. The incidence of burrower bug injury and segregation 2 peanuts was relatively low in 2017, though severe losses </w:t>
      </w:r>
      <w:proofErr w:type="gramStart"/>
      <w:r w:rsidRPr="0096181E">
        <w:t>were still incurred</w:t>
      </w:r>
      <w:proofErr w:type="gramEnd"/>
      <w:r w:rsidRPr="0096181E">
        <w:t xml:space="preserve"> by some growers. A variety of caterpillar species </w:t>
      </w:r>
      <w:proofErr w:type="gramStart"/>
      <w:r w:rsidRPr="0096181E">
        <w:t>were observed</w:t>
      </w:r>
      <w:proofErr w:type="gramEnd"/>
      <w:r w:rsidRPr="0096181E">
        <w:t xml:space="preserve"> in peanut fields across the state, but none reached outbreak proportions, and control problems were limited. Overall, peanut growers in Georgia averaged an estimated 4400 pounds per acre on more than </w:t>
      </w:r>
      <w:proofErr w:type="gramStart"/>
      <w:r w:rsidRPr="0096181E">
        <w:t>820,000 planted</w:t>
      </w:r>
      <w:proofErr w:type="gramEnd"/>
      <w:r w:rsidRPr="0096181E">
        <w:t xml:space="preserve"> acres in 2017, and the quality of the crop was very high. </w:t>
      </w:r>
    </w:p>
    <w:p w:rsidR="0096181E" w:rsidRPr="0096181E" w:rsidRDefault="0096181E" w:rsidP="0096181E"/>
    <w:p w:rsidR="0096181E" w:rsidRPr="0096181E" w:rsidRDefault="0096181E" w:rsidP="0096181E">
      <w:pPr>
        <w:spacing w:after="0" w:line="240" w:lineRule="auto"/>
        <w:outlineLvl w:val="0"/>
        <w:rPr>
          <w:b/>
        </w:rPr>
      </w:pPr>
      <w:bookmarkStart w:id="9" w:name="_Toc509838120"/>
      <w:r w:rsidRPr="0096181E">
        <w:rPr>
          <w:b/>
        </w:rPr>
        <w:t>Pecan</w:t>
      </w:r>
      <w:bookmarkEnd w:id="9"/>
    </w:p>
    <w:p w:rsidR="0096181E" w:rsidRPr="0096181E" w:rsidRDefault="0096181E" w:rsidP="0096181E">
      <w:r w:rsidRPr="0096181E">
        <w:t xml:space="preserve">The insect situation in 2017 was normal, with no outbreaks or unusual problems noted.  The most often treated pests were aphids (Black pecan aphid, yellow pecan aphid, black-margined pecan aphid), which collectively required 2-3 treatments during the season.  This reflects ca. $20/acre cost; direct damage to </w:t>
      </w:r>
      <w:r w:rsidRPr="0096181E">
        <w:lastRenderedPageBreak/>
        <w:t xml:space="preserve">the current crop is essentially </w:t>
      </w:r>
      <w:proofErr w:type="gramStart"/>
      <w:r w:rsidRPr="0096181E">
        <w:t>0</w:t>
      </w:r>
      <w:proofErr w:type="gramEnd"/>
      <w:r w:rsidRPr="0096181E">
        <w:t xml:space="preserve"> and populations generally do not reach sustained levels that would reduce yield the following year.  Approximately 50% of the managed acreage was treated for pecan weevil; the average was </w:t>
      </w:r>
      <w:proofErr w:type="gramStart"/>
      <w:r w:rsidRPr="0096181E">
        <w:t>2</w:t>
      </w:r>
      <w:proofErr w:type="gramEnd"/>
      <w:r w:rsidRPr="0096181E">
        <w:t xml:space="preserve"> treatments at $3/treatment.  There are ca. 150,000 managed acres in production, so cost of control for the major pests was ca. $450,000 for weevil and $7.5 million for aphids.  Overall yield (after hurricane losses estimated at 30% of the crop) was 110 million pounds for the state.  Crop loss due to weevils </w:t>
      </w:r>
      <w:proofErr w:type="gramStart"/>
      <w:r w:rsidRPr="0096181E">
        <w:t>is estimated</w:t>
      </w:r>
      <w:proofErr w:type="gramEnd"/>
      <w:r w:rsidRPr="0096181E">
        <w:t xml:space="preserve"> at $500,000.    </w:t>
      </w:r>
    </w:p>
    <w:p w:rsidR="0096181E" w:rsidRPr="0096181E" w:rsidRDefault="0096181E" w:rsidP="0096181E"/>
    <w:p w:rsidR="0096181E" w:rsidRPr="0096181E" w:rsidRDefault="0096181E" w:rsidP="0096181E">
      <w:pPr>
        <w:spacing w:after="0" w:line="240" w:lineRule="auto"/>
        <w:outlineLvl w:val="0"/>
        <w:rPr>
          <w:b/>
        </w:rPr>
      </w:pPr>
      <w:bookmarkStart w:id="10" w:name="_Toc509838121"/>
      <w:r w:rsidRPr="0096181E">
        <w:rPr>
          <w:b/>
        </w:rPr>
        <w:t>Sorghum</w:t>
      </w:r>
      <w:bookmarkEnd w:id="10"/>
    </w:p>
    <w:p w:rsidR="0096181E" w:rsidRPr="0096181E" w:rsidRDefault="0096181E" w:rsidP="0096181E">
      <w:r w:rsidRPr="0096181E">
        <w:t xml:space="preserve">Sorghum acreage in 2017 was 12,000 acres for grain production and 10,000 acres for forage/silage production.  Grain yield averaged 54 </w:t>
      </w:r>
      <w:proofErr w:type="spellStart"/>
      <w:r w:rsidRPr="0096181E">
        <w:t>bu</w:t>
      </w:r>
      <w:proofErr w:type="spellEnd"/>
      <w:r w:rsidRPr="0096181E">
        <w:t xml:space="preserve">/acre at a price of $6.50 per 100 </w:t>
      </w:r>
      <w:proofErr w:type="spellStart"/>
      <w:r w:rsidRPr="0096181E">
        <w:t>lb</w:t>
      </w:r>
      <w:proofErr w:type="spellEnd"/>
      <w:r w:rsidRPr="0096181E">
        <w:t xml:space="preserve"> seed. Acreage was similar to 2015 due to lower commodity prices and cost of controlling the sugarcane aphid (SCA).  SCA infestations </w:t>
      </w:r>
      <w:proofErr w:type="gramStart"/>
      <w:r w:rsidRPr="0096181E">
        <w:t>were first detected</w:t>
      </w:r>
      <w:proofErr w:type="gramEnd"/>
      <w:r w:rsidRPr="0096181E">
        <w:t xml:space="preserve"> in late April in southern GA and throughout the state by the end of June.  SCA occurred on about every acre of sorghum. Virtually all grain sorghum hybrids were pretreated with the neonicotinoid insecticides </w:t>
      </w:r>
      <w:proofErr w:type="spellStart"/>
      <w:r w:rsidRPr="0096181E">
        <w:t>clothianidin</w:t>
      </w:r>
      <w:proofErr w:type="spellEnd"/>
      <w:r w:rsidRPr="0096181E">
        <w:t xml:space="preserve"> or </w:t>
      </w:r>
      <w:proofErr w:type="spellStart"/>
      <w:proofErr w:type="gramStart"/>
      <w:r w:rsidRPr="0096181E">
        <w:t>thiamethoxam</w:t>
      </w:r>
      <w:proofErr w:type="spellEnd"/>
      <w:r w:rsidRPr="0096181E">
        <w:t xml:space="preserve"> which</w:t>
      </w:r>
      <w:proofErr w:type="gramEnd"/>
      <w:r w:rsidRPr="0096181E">
        <w:t xml:space="preserve"> provided good control for SCA for 30-40 days after planting.  A Section 18 emergency use exemption </w:t>
      </w:r>
      <w:proofErr w:type="gramStart"/>
      <w:r w:rsidRPr="0096181E">
        <w:t>was obtained</w:t>
      </w:r>
      <w:proofErr w:type="gramEnd"/>
      <w:r w:rsidRPr="0096181E">
        <w:t xml:space="preserve"> again for use of Transform WG on sorghum for SCA control with a maximum of two applications per season.  Almost all acres </w:t>
      </w:r>
      <w:proofErr w:type="gramStart"/>
      <w:r w:rsidRPr="0096181E">
        <w:t>were treated</w:t>
      </w:r>
      <w:proofErr w:type="gramEnd"/>
      <w:r w:rsidRPr="0096181E">
        <w:t xml:space="preserve"> once and some fields were treated twice with either </w:t>
      </w:r>
      <w:proofErr w:type="spellStart"/>
      <w:r w:rsidRPr="0096181E">
        <w:t>Sivanto</w:t>
      </w:r>
      <w:proofErr w:type="spellEnd"/>
      <w:r w:rsidRPr="0096181E">
        <w:t xml:space="preserve"> prime 200SL or Transform WG.  Estimated cost of insecticide application for sugarcane aphid control was about $15 to $20 per acre.  Some fields or portions of fields </w:t>
      </w:r>
      <w:proofErr w:type="gramStart"/>
      <w:r w:rsidRPr="0096181E">
        <w:t>were severely damaged and abandoned</w:t>
      </w:r>
      <w:proofErr w:type="gramEnd"/>
      <w:r w:rsidRPr="0096181E">
        <w:t xml:space="preserve">.  Sorghum midge infestations were absent or very low.  Some later planted fields </w:t>
      </w:r>
      <w:proofErr w:type="gramStart"/>
      <w:r w:rsidRPr="0096181E">
        <w:t>were treated</w:t>
      </w:r>
      <w:proofErr w:type="gramEnd"/>
      <w:r w:rsidRPr="0096181E">
        <w:t xml:space="preserve"> for fall armyworm in the whorl or </w:t>
      </w:r>
      <w:proofErr w:type="spellStart"/>
      <w:r w:rsidRPr="0096181E">
        <w:t>headworms</w:t>
      </w:r>
      <w:proofErr w:type="spellEnd"/>
      <w:r w:rsidRPr="0096181E">
        <w:t xml:space="preserve"> (fall armyworm, corn earworm and/or sorghum webworm) on the grain heads.  Control of SCA in silage and forage sorghum is problematic.  A Section 18 label also </w:t>
      </w:r>
      <w:proofErr w:type="gramStart"/>
      <w:r w:rsidRPr="0096181E">
        <w:t>was obtained</w:t>
      </w:r>
      <w:proofErr w:type="gramEnd"/>
      <w:r w:rsidRPr="0096181E">
        <w:t xml:space="preserve"> for </w:t>
      </w:r>
      <w:proofErr w:type="spellStart"/>
      <w:r w:rsidRPr="0096181E">
        <w:t>Sivanto</w:t>
      </w:r>
      <w:proofErr w:type="spellEnd"/>
      <w:r w:rsidRPr="0096181E">
        <w:t xml:space="preserve"> prime for use on sweet sorghum for syrup production. This prevented severe damage in most sweet sorghum fields in 2017. </w:t>
      </w:r>
    </w:p>
    <w:p w:rsidR="0096181E" w:rsidRPr="0096181E" w:rsidRDefault="0096181E" w:rsidP="0096181E"/>
    <w:p w:rsidR="0096181E" w:rsidRPr="0096181E" w:rsidRDefault="0096181E" w:rsidP="0096181E">
      <w:pPr>
        <w:spacing w:after="0" w:line="240" w:lineRule="auto"/>
        <w:outlineLvl w:val="0"/>
        <w:rPr>
          <w:b/>
        </w:rPr>
      </w:pPr>
      <w:bookmarkStart w:id="11" w:name="_Toc509838122"/>
      <w:r w:rsidRPr="0096181E">
        <w:rPr>
          <w:b/>
        </w:rPr>
        <w:t>Soybean</w:t>
      </w:r>
      <w:bookmarkEnd w:id="11"/>
    </w:p>
    <w:p w:rsidR="0096181E" w:rsidRPr="0096181E" w:rsidRDefault="0096181E" w:rsidP="0096181E">
      <w:r w:rsidRPr="0096181E">
        <w:rPr>
          <w:rFonts w:ascii="Calibri" w:eastAsia="Calibri" w:hAnsi="Calibri" w:cs="Times New Roman"/>
        </w:rPr>
        <w:t xml:space="preserve">Insect pest problems in soybean were relatively minor during 2017.  Foliage feeding caterpillars, including soybean </w:t>
      </w:r>
      <w:proofErr w:type="spellStart"/>
      <w:r w:rsidRPr="0096181E">
        <w:rPr>
          <w:rFonts w:ascii="Calibri" w:eastAsia="Calibri" w:hAnsi="Calibri" w:cs="Times New Roman"/>
        </w:rPr>
        <w:t>looper</w:t>
      </w:r>
      <w:proofErr w:type="spellEnd"/>
      <w:r w:rsidRPr="0096181E">
        <w:rPr>
          <w:rFonts w:ascii="Calibri" w:eastAsia="Calibri" w:hAnsi="Calibri" w:cs="Times New Roman"/>
        </w:rPr>
        <w:t xml:space="preserve"> and </w:t>
      </w:r>
      <w:proofErr w:type="spellStart"/>
      <w:r w:rsidRPr="0096181E">
        <w:rPr>
          <w:rFonts w:ascii="Calibri" w:eastAsia="Calibri" w:hAnsi="Calibri" w:cs="Times New Roman"/>
        </w:rPr>
        <w:t>velvetbean</w:t>
      </w:r>
      <w:proofErr w:type="spellEnd"/>
      <w:r w:rsidRPr="0096181E">
        <w:rPr>
          <w:rFonts w:ascii="Calibri" w:eastAsia="Calibri" w:hAnsi="Calibri" w:cs="Times New Roman"/>
        </w:rPr>
        <w:t xml:space="preserve"> caterpillar, and </w:t>
      </w:r>
      <w:proofErr w:type="gramStart"/>
      <w:r w:rsidRPr="0096181E">
        <w:rPr>
          <w:rFonts w:ascii="Calibri" w:eastAsia="Calibri" w:hAnsi="Calibri" w:cs="Times New Roman"/>
        </w:rPr>
        <w:t>stink bugs</w:t>
      </w:r>
      <w:proofErr w:type="gramEnd"/>
      <w:r w:rsidRPr="0096181E">
        <w:rPr>
          <w:rFonts w:ascii="Calibri" w:eastAsia="Calibri" w:hAnsi="Calibri" w:cs="Times New Roman"/>
        </w:rPr>
        <w:t xml:space="preserve"> were the most common pests infesting fields and requiring treatment.  Kudzu bugs infested </w:t>
      </w:r>
      <w:proofErr w:type="gramStart"/>
      <w:r w:rsidRPr="0096181E">
        <w:rPr>
          <w:rFonts w:ascii="Calibri" w:eastAsia="Calibri" w:hAnsi="Calibri" w:cs="Times New Roman"/>
        </w:rPr>
        <w:t>early planted</w:t>
      </w:r>
      <w:proofErr w:type="gramEnd"/>
      <w:r w:rsidRPr="0096181E">
        <w:rPr>
          <w:rFonts w:ascii="Calibri" w:eastAsia="Calibri" w:hAnsi="Calibri" w:cs="Times New Roman"/>
        </w:rPr>
        <w:t xml:space="preserve"> soybeans and required treatment in some locations before crashing due to infection by </w:t>
      </w:r>
      <w:proofErr w:type="spellStart"/>
      <w:r w:rsidRPr="0096181E">
        <w:rPr>
          <w:rFonts w:ascii="Calibri" w:eastAsia="Calibri" w:hAnsi="Calibri" w:cs="Times New Roman"/>
          <w:i/>
        </w:rPr>
        <w:t>Beauvaria</w:t>
      </w:r>
      <w:proofErr w:type="spellEnd"/>
      <w:r w:rsidRPr="0096181E">
        <w:rPr>
          <w:rFonts w:ascii="Calibri" w:eastAsia="Calibri" w:hAnsi="Calibri" w:cs="Times New Roman"/>
          <w:i/>
        </w:rPr>
        <w:t xml:space="preserve"> </w:t>
      </w:r>
      <w:proofErr w:type="spellStart"/>
      <w:r w:rsidRPr="0096181E">
        <w:rPr>
          <w:rFonts w:ascii="Calibri" w:eastAsia="Calibri" w:hAnsi="Calibri" w:cs="Times New Roman"/>
          <w:i/>
        </w:rPr>
        <w:t>bassiana</w:t>
      </w:r>
      <w:proofErr w:type="spellEnd"/>
      <w:r w:rsidRPr="0096181E">
        <w:rPr>
          <w:rFonts w:ascii="Calibri" w:eastAsia="Calibri" w:hAnsi="Calibri" w:cs="Times New Roman"/>
        </w:rPr>
        <w:t>.</w:t>
      </w:r>
    </w:p>
    <w:p w:rsidR="0096181E" w:rsidRPr="0096181E" w:rsidRDefault="0096181E" w:rsidP="0096181E"/>
    <w:p w:rsidR="0096181E" w:rsidRPr="0096181E" w:rsidRDefault="0096181E" w:rsidP="0096181E">
      <w:pPr>
        <w:spacing w:after="0" w:line="240" w:lineRule="auto"/>
        <w:outlineLvl w:val="0"/>
        <w:rPr>
          <w:b/>
        </w:rPr>
      </w:pPr>
      <w:bookmarkStart w:id="12" w:name="_Toc509838123"/>
      <w:r w:rsidRPr="0096181E">
        <w:rPr>
          <w:b/>
        </w:rPr>
        <w:t>Urban and Structural</w:t>
      </w:r>
      <w:bookmarkEnd w:id="12"/>
    </w:p>
    <w:p w:rsidR="0096181E" w:rsidRPr="0096181E" w:rsidRDefault="0096181E" w:rsidP="0096181E">
      <w:r w:rsidRPr="0096181E">
        <w:t xml:space="preserve">The tawny crazy ant, </w:t>
      </w:r>
      <w:proofErr w:type="spellStart"/>
      <w:r w:rsidRPr="0096181E">
        <w:rPr>
          <w:i/>
        </w:rPr>
        <w:t>Nylanderia</w:t>
      </w:r>
      <w:proofErr w:type="spellEnd"/>
      <w:r w:rsidRPr="0096181E">
        <w:rPr>
          <w:i/>
        </w:rPr>
        <w:t xml:space="preserve"> </w:t>
      </w:r>
      <w:proofErr w:type="spellStart"/>
      <w:r w:rsidRPr="0096181E">
        <w:rPr>
          <w:i/>
        </w:rPr>
        <w:t>fulva</w:t>
      </w:r>
      <w:proofErr w:type="spellEnd"/>
      <w:r w:rsidRPr="0096181E">
        <w:t xml:space="preserve">, has shown up in Dougherty county (Albany, GA) in August 2013, Camden and Glynn counties along I-95 exits coming from Florida (August 2014), and Chatham (Garden City, GA), Lowndes (Valdosta, GA), and Brooks (Quitman, GA) Counties in 2015. There have been no detections in Georgia since. Our belief is that this major nuisance ant pest will be restricted to the lower half to one-third of GA and coastal GA. In our studies in Chatham County, at the Port of Savannah, we are seeing the rapid displacement of the red imported fire ant, </w:t>
      </w:r>
      <w:proofErr w:type="spellStart"/>
      <w:r w:rsidRPr="0096181E">
        <w:rPr>
          <w:i/>
        </w:rPr>
        <w:t>Solenopsis</w:t>
      </w:r>
      <w:proofErr w:type="spellEnd"/>
      <w:r w:rsidRPr="0096181E">
        <w:rPr>
          <w:i/>
        </w:rPr>
        <w:t xml:space="preserve"> </w:t>
      </w:r>
      <w:proofErr w:type="spellStart"/>
      <w:r w:rsidRPr="0096181E">
        <w:rPr>
          <w:i/>
        </w:rPr>
        <w:t>invicta</w:t>
      </w:r>
      <w:proofErr w:type="spellEnd"/>
      <w:r w:rsidRPr="0096181E">
        <w:t xml:space="preserve">, by </w:t>
      </w:r>
      <w:r w:rsidRPr="0096181E">
        <w:rPr>
          <w:i/>
        </w:rPr>
        <w:t xml:space="preserve">N. </w:t>
      </w:r>
      <w:proofErr w:type="spellStart"/>
      <w:r w:rsidRPr="0096181E">
        <w:rPr>
          <w:i/>
        </w:rPr>
        <w:t>fulva</w:t>
      </w:r>
      <w:proofErr w:type="spellEnd"/>
      <w:r w:rsidRPr="0096181E">
        <w:t xml:space="preserve">. Control of </w:t>
      </w:r>
      <w:r w:rsidRPr="0096181E">
        <w:rPr>
          <w:i/>
        </w:rPr>
        <w:lastRenderedPageBreak/>
        <w:t xml:space="preserve">N. </w:t>
      </w:r>
      <w:proofErr w:type="spellStart"/>
      <w:r w:rsidRPr="0096181E">
        <w:rPr>
          <w:i/>
        </w:rPr>
        <w:t>fulva</w:t>
      </w:r>
      <w:proofErr w:type="spellEnd"/>
      <w:r w:rsidRPr="0096181E">
        <w:t xml:space="preserve"> is much like that for the Argentine ant, </w:t>
      </w:r>
      <w:proofErr w:type="spellStart"/>
      <w:r w:rsidRPr="0096181E">
        <w:rPr>
          <w:i/>
        </w:rPr>
        <w:t>Linepithema</w:t>
      </w:r>
      <w:proofErr w:type="spellEnd"/>
      <w:r w:rsidRPr="0096181E">
        <w:rPr>
          <w:i/>
        </w:rPr>
        <w:t xml:space="preserve"> </w:t>
      </w:r>
      <w:proofErr w:type="spellStart"/>
      <w:r w:rsidRPr="0096181E">
        <w:rPr>
          <w:i/>
        </w:rPr>
        <w:t>humile</w:t>
      </w:r>
      <w:proofErr w:type="spellEnd"/>
      <w:r w:rsidRPr="0096181E">
        <w:t xml:space="preserve">. </w:t>
      </w:r>
      <w:proofErr w:type="spellStart"/>
      <w:r w:rsidRPr="0096181E">
        <w:t>Fipronil</w:t>
      </w:r>
      <w:proofErr w:type="spellEnd"/>
      <w:r w:rsidRPr="0096181E">
        <w:t xml:space="preserve"> (</w:t>
      </w:r>
      <w:proofErr w:type="spellStart"/>
      <w:r w:rsidRPr="0096181E">
        <w:t>Termidor</w:t>
      </w:r>
      <w:proofErr w:type="spellEnd"/>
      <w:r w:rsidRPr="0096181E">
        <w:t xml:space="preserve"> SC) used close to the structure only and applied directly to trailing ants is the best method to date, to control </w:t>
      </w:r>
      <w:r w:rsidRPr="0096181E">
        <w:rPr>
          <w:i/>
        </w:rPr>
        <w:t xml:space="preserve">N. </w:t>
      </w:r>
      <w:proofErr w:type="spellStart"/>
      <w:r w:rsidRPr="0096181E">
        <w:rPr>
          <w:i/>
        </w:rPr>
        <w:t>fulva</w:t>
      </w:r>
      <w:proofErr w:type="spellEnd"/>
      <w:r w:rsidRPr="0096181E">
        <w:t xml:space="preserve">. Elimination of excessive trash and debris is also critical, as it eliminates nesting sites. </w:t>
      </w:r>
    </w:p>
    <w:p w:rsidR="0096181E" w:rsidRPr="0096181E" w:rsidRDefault="0096181E" w:rsidP="0096181E">
      <w:r w:rsidRPr="0096181E">
        <w:t>Several changes to insecticide labels (</w:t>
      </w:r>
      <w:proofErr w:type="spellStart"/>
      <w:r w:rsidRPr="0096181E">
        <w:t>pyrethroids</w:t>
      </w:r>
      <w:proofErr w:type="spellEnd"/>
      <w:r w:rsidRPr="0096181E">
        <w:t xml:space="preserve"> and neonicotinoids) have occurred over the past several years. For </w:t>
      </w:r>
      <w:proofErr w:type="spellStart"/>
      <w:r w:rsidRPr="0096181E">
        <w:t>pyrethroids</w:t>
      </w:r>
      <w:proofErr w:type="spellEnd"/>
      <w:r w:rsidRPr="0096181E">
        <w:t xml:space="preserve">, changes (in OTC and professional markets) restrict where products </w:t>
      </w:r>
      <w:proofErr w:type="gramStart"/>
      <w:r w:rsidRPr="0096181E">
        <w:t>can be applied</w:t>
      </w:r>
      <w:proofErr w:type="gramEnd"/>
      <w:r w:rsidRPr="0096181E">
        <w:t xml:space="preserve">. To prevent water contamination, for instance, they </w:t>
      </w:r>
      <w:proofErr w:type="gramStart"/>
      <w:r w:rsidRPr="0096181E">
        <w:t>cannot be applied</w:t>
      </w:r>
      <w:proofErr w:type="gramEnd"/>
      <w:r w:rsidRPr="0096181E">
        <w:t xml:space="preserve"> to hard surfaces, cannot be applied more than 3 feet high, must be applied crack and crevice, and must be applied over overhangs when applied to soil. For neonicotinoids, new labels have a pollinator protection box with language mandating that products not </w:t>
      </w:r>
      <w:proofErr w:type="gramStart"/>
      <w:r w:rsidRPr="0096181E">
        <w:t>be applied</w:t>
      </w:r>
      <w:proofErr w:type="gramEnd"/>
      <w:r w:rsidRPr="0096181E">
        <w:t xml:space="preserve"> to plants with flowers on them.</w:t>
      </w:r>
    </w:p>
    <w:p w:rsidR="0096181E" w:rsidRPr="0096181E" w:rsidRDefault="0096181E" w:rsidP="0096181E">
      <w:r w:rsidRPr="0096181E">
        <w:t xml:space="preserve">Although bed bug problems continue to be common in Georgia (mainly in commercial accounts), many companies (including some large ones) not equipped to handle them (multiple visits and labor intensive), or averse to the liability, are not pursuing bed bug work. Although bed bugs garner lots of attention, termites and ants are still more profitable for most companies, especially those small to mid-sized </w:t>
      </w:r>
      <w:proofErr w:type="gramStart"/>
      <w:r w:rsidRPr="0096181E">
        <w:t>companies which</w:t>
      </w:r>
      <w:proofErr w:type="gramEnd"/>
      <w:r w:rsidRPr="0096181E">
        <w:t xml:space="preserve"> make up more than three-fourths of the industry (Suiter’s estimate). On the pest control side, ants (Argentine ants) are arguably the number one pest encountered by companies who conduct residential pest control (most of them) in GA. A major problem that has emerged for those people who have been unfortunate enough to </w:t>
      </w:r>
      <w:proofErr w:type="gramStart"/>
      <w:r w:rsidRPr="0096181E">
        <w:t>have found</w:t>
      </w:r>
      <w:proofErr w:type="gramEnd"/>
      <w:r w:rsidRPr="0096181E">
        <w:t xml:space="preserve"> themselves with a bed bug infestation is the cost to remedy the problem. The cost of a bed bug treatment, over the past decade, has reached the cost of a residential termite treatment. </w:t>
      </w:r>
      <w:proofErr w:type="gramStart"/>
      <w:r w:rsidRPr="0096181E">
        <w:t>And</w:t>
      </w:r>
      <w:proofErr w:type="gramEnd"/>
      <w:r w:rsidRPr="0096181E">
        <w:t xml:space="preserve"> many residents, especially those living in low-income environments, are simply not fortunate enough to be able to afford to hire a pest management company to solve their problem. This, coupled with virtually no over-the-counter remedies, is fueling the search for low-cost, effective remedies available to homeowners.</w:t>
      </w:r>
    </w:p>
    <w:p w:rsidR="0096181E" w:rsidRPr="0096181E" w:rsidRDefault="0096181E" w:rsidP="0096181E">
      <w:r w:rsidRPr="0096181E">
        <w:t>Attractants for bed bug traps is an active area of research. The "</w:t>
      </w:r>
      <w:proofErr w:type="spellStart"/>
      <w:r w:rsidRPr="0096181E">
        <w:t>ClimbUp</w:t>
      </w:r>
      <w:proofErr w:type="spellEnd"/>
      <w:r w:rsidRPr="0096181E">
        <w:t xml:space="preserve">" pitfall trap continues to be the industry standard for traps as monitors. Traps </w:t>
      </w:r>
      <w:proofErr w:type="gramStart"/>
      <w:r w:rsidRPr="0096181E">
        <w:t>are not used</w:t>
      </w:r>
      <w:proofErr w:type="gramEnd"/>
      <w:r w:rsidRPr="0096181E">
        <w:t xml:space="preserve"> as a pest control tool, but are good monitors. Heat continues to </w:t>
      </w:r>
      <w:proofErr w:type="gramStart"/>
      <w:r w:rsidRPr="0096181E">
        <w:t>be used</w:t>
      </w:r>
      <w:proofErr w:type="gramEnd"/>
      <w:r w:rsidRPr="0096181E">
        <w:t xml:space="preserve"> to control bed bugs, mainly as an alternative to </w:t>
      </w:r>
      <w:proofErr w:type="spellStart"/>
      <w:r w:rsidRPr="0096181E">
        <w:t>pyrethroid</w:t>
      </w:r>
      <w:proofErr w:type="spellEnd"/>
      <w:r w:rsidRPr="0096181E">
        <w:t xml:space="preserve"> resistant populations; </w:t>
      </w:r>
      <w:proofErr w:type="spellStart"/>
      <w:r w:rsidRPr="0096181E">
        <w:t>pyrethroid</w:t>
      </w:r>
      <w:proofErr w:type="spellEnd"/>
      <w:r w:rsidRPr="0096181E">
        <w:t xml:space="preserve"> resistance in bed bugs is severe and widespread. There are few chemicals on the horizon that will alleviate this situation; however, </w:t>
      </w:r>
      <w:proofErr w:type="spellStart"/>
      <w:r w:rsidRPr="0096181E">
        <w:t>chlorfenapyr</w:t>
      </w:r>
      <w:proofErr w:type="spellEnd"/>
      <w:r w:rsidRPr="0096181E">
        <w:t xml:space="preserve"> (Phantom, BASF) is a </w:t>
      </w:r>
      <w:proofErr w:type="gramStart"/>
      <w:r w:rsidRPr="0096181E">
        <w:t>fairly widely</w:t>
      </w:r>
      <w:proofErr w:type="gramEnd"/>
      <w:r w:rsidRPr="0096181E">
        <w:t xml:space="preserve"> incorporated residual, as is diatomaceous earth (</w:t>
      </w:r>
      <w:proofErr w:type="spellStart"/>
      <w:r w:rsidRPr="0096181E">
        <w:t>Cimexa</w:t>
      </w:r>
      <w:proofErr w:type="spellEnd"/>
      <w:r w:rsidRPr="0096181E">
        <w:t xml:space="preserve"> dust and Mother Earth dust). Essential oils </w:t>
      </w:r>
      <w:proofErr w:type="gramStart"/>
      <w:r w:rsidRPr="0096181E">
        <w:t>are being looked at,</w:t>
      </w:r>
      <w:proofErr w:type="gramEnd"/>
      <w:r w:rsidRPr="0096181E">
        <w:t xml:space="preserve"> but are not promising. Heat, when used improperly, can worsen bed bug problems by driving bugs from heated premises. Dogs as inspection tools are variable when it comes to efficiency; the handler has proven to be a key to the success of dogs as inspectors. Information about bed bugs, in the form of webinar archives, </w:t>
      </w:r>
      <w:proofErr w:type="gramStart"/>
      <w:r w:rsidRPr="0096181E">
        <w:t>can be viewed</w:t>
      </w:r>
      <w:proofErr w:type="gramEnd"/>
      <w:r w:rsidRPr="0096181E">
        <w:t xml:space="preserve"> at </w:t>
      </w:r>
      <w:hyperlink r:id="rId15" w:history="1">
        <w:r w:rsidRPr="0096181E">
          <w:rPr>
            <w:color w:val="0000FF" w:themeColor="hyperlink"/>
            <w:u w:val="single"/>
          </w:rPr>
          <w:t>www.gtbopc.com</w:t>
        </w:r>
      </w:hyperlink>
      <w:r w:rsidRPr="0096181E">
        <w:t>. Viewing is free.</w:t>
      </w:r>
    </w:p>
    <w:p w:rsidR="0096181E" w:rsidRPr="0096181E" w:rsidRDefault="0096181E" w:rsidP="0096181E">
      <w:pPr>
        <w:spacing w:after="0" w:line="240" w:lineRule="auto"/>
        <w:outlineLvl w:val="0"/>
        <w:rPr>
          <w:b/>
        </w:rPr>
      </w:pPr>
      <w:bookmarkStart w:id="13" w:name="_Toc509838124"/>
      <w:r w:rsidRPr="0096181E">
        <w:rPr>
          <w:b/>
        </w:rPr>
        <w:t>Vegetables</w:t>
      </w:r>
      <w:bookmarkEnd w:id="13"/>
    </w:p>
    <w:p w:rsidR="0096181E" w:rsidRPr="0096181E" w:rsidRDefault="0096181E" w:rsidP="0096181E">
      <w:r w:rsidRPr="0096181E">
        <w:t xml:space="preserve">Spring crops </w:t>
      </w:r>
      <w:proofErr w:type="gramStart"/>
      <w:r w:rsidRPr="0096181E">
        <w:t>were produced</w:t>
      </w:r>
      <w:proofErr w:type="gramEnd"/>
      <w:r w:rsidRPr="0096181E">
        <w:t xml:space="preserve"> with relatively minor insect pest pressure in 2017. </w:t>
      </w:r>
      <w:proofErr w:type="spellStart"/>
      <w:r w:rsidRPr="0096181E">
        <w:t>Thrips</w:t>
      </w:r>
      <w:proofErr w:type="spellEnd"/>
      <w:r w:rsidRPr="0096181E">
        <w:t xml:space="preserve"> were very light in onions. Diamondback moth </w:t>
      </w:r>
      <w:proofErr w:type="gramStart"/>
      <w:r w:rsidRPr="0096181E">
        <w:t>was less broadly distributed</w:t>
      </w:r>
      <w:proofErr w:type="gramEnd"/>
      <w:r w:rsidRPr="0096181E">
        <w:t xml:space="preserve"> than in the previous year, but did present severe control issues when present because of resistance to multiple insecticide modes of action. Other caterpillar pests were relatively light in most crops. Squash bug has been emerging as a more consistent pest of cucurbits and can be difficult to control. Of special interest in 2017 was the apparent preference </w:t>
      </w:r>
      <w:r w:rsidRPr="0096181E">
        <w:lastRenderedPageBreak/>
        <w:t xml:space="preserve">of squash bug for grafted watermelons over non-grafted watermelons. This was seen in multiple fields in Georgia and </w:t>
      </w:r>
      <w:proofErr w:type="gramStart"/>
      <w:r w:rsidRPr="0096181E">
        <w:t>was also</w:t>
      </w:r>
      <w:proofErr w:type="gramEnd"/>
      <w:r w:rsidRPr="0096181E">
        <w:t xml:space="preserve"> reported in Florida.</w:t>
      </w:r>
    </w:p>
    <w:p w:rsidR="0096181E" w:rsidRPr="0096181E" w:rsidRDefault="0096181E" w:rsidP="0096181E">
      <w:r w:rsidRPr="0096181E">
        <w:t xml:space="preserve">Production of summer and fall crops presented multiple severe pest problems in vegetables. </w:t>
      </w:r>
    </w:p>
    <w:p w:rsidR="0096181E" w:rsidRPr="0096181E" w:rsidRDefault="0096181E" w:rsidP="0096181E">
      <w:r w:rsidRPr="0096181E">
        <w:t xml:space="preserve">The cowpea curculio remains as a </w:t>
      </w:r>
      <w:proofErr w:type="gramStart"/>
      <w:r w:rsidRPr="0096181E">
        <w:t>crop threatening</w:t>
      </w:r>
      <w:proofErr w:type="gramEnd"/>
      <w:r w:rsidRPr="0096181E">
        <w:t xml:space="preserve"> pest in cowpeas. No legal control </w:t>
      </w:r>
      <w:proofErr w:type="gramStart"/>
      <w:r w:rsidRPr="0096181E">
        <w:t>methods which will provide adequate control</w:t>
      </w:r>
      <w:proofErr w:type="gramEnd"/>
      <w:r w:rsidRPr="0096181E">
        <w:t xml:space="preserve"> have been identified to date. Evidence of a reproductive diapause </w:t>
      </w:r>
      <w:proofErr w:type="gramStart"/>
      <w:r w:rsidRPr="0096181E">
        <w:t>has been documented</w:t>
      </w:r>
      <w:proofErr w:type="gramEnd"/>
      <w:r w:rsidRPr="0096181E">
        <w:t>; however, this occurs well after the commercial production season.</w:t>
      </w:r>
    </w:p>
    <w:p w:rsidR="0096181E" w:rsidRPr="0096181E" w:rsidRDefault="0096181E" w:rsidP="0096181E">
      <w:proofErr w:type="spellStart"/>
      <w:r w:rsidRPr="0096181E">
        <w:t>Silverleaf</w:t>
      </w:r>
      <w:proofErr w:type="spellEnd"/>
      <w:r w:rsidRPr="0096181E">
        <w:t xml:space="preserve"> whitefly and associated viruses occurred earlier, over a wider area, and in more severe incidence than ever experienced before. Whiteflies actually occurred in treatable populations in late spring crops, which is uncommon. Sweet potatoes were likely injured by </w:t>
      </w:r>
      <w:proofErr w:type="gramStart"/>
      <w:r w:rsidRPr="0096181E">
        <w:t>whiteflies,</w:t>
      </w:r>
      <w:proofErr w:type="gramEnd"/>
      <w:r w:rsidRPr="0096181E">
        <w:t xml:space="preserve"> however, this has not been well documented as whiteflies normally occur after this crop is near harvest. While most vegetable crops </w:t>
      </w:r>
      <w:proofErr w:type="gramStart"/>
      <w:r w:rsidRPr="0096181E">
        <w:t>were impacted</w:t>
      </w:r>
      <w:proofErr w:type="gramEnd"/>
      <w:r w:rsidRPr="0096181E">
        <w:t xml:space="preserve"> by whitefly in the fall, tomato, snap bean, and cucurbit crops were most severely impacted because of viruses transmitted by the whitefly. Fall production of snap bean experienced an estimated 80 percent loss because of </w:t>
      </w:r>
      <w:proofErr w:type="gramStart"/>
      <w:r w:rsidRPr="0096181E">
        <w:t>cucurbit leaf curl virus</w:t>
      </w:r>
      <w:proofErr w:type="gramEnd"/>
      <w:r w:rsidRPr="0096181E">
        <w:t>. Similarly, most fall cucurbit crops, particularly squash, experienced heavy losses (80 to 40 percent dependent on crop susceptibility to virus) because of cucurbit leaf crumple and other viruses transmitted by whitefly. Some tomato fields also experienced up to 100 percent loss because of tomato yellow leaf curl virus. It was noted that both whitefly population and virus incidence was greatly suppressed after passage of hurricane Irma in late fall.</w:t>
      </w:r>
    </w:p>
    <w:p w:rsidR="0096181E" w:rsidRPr="0096181E" w:rsidRDefault="0096181E" w:rsidP="0096181E">
      <w:r w:rsidRPr="0096181E">
        <w:t xml:space="preserve">Problems with broad mite in both pepper and eggplant </w:t>
      </w:r>
      <w:proofErr w:type="gramStart"/>
      <w:r w:rsidRPr="0096181E">
        <w:t>were reported</w:t>
      </w:r>
      <w:proofErr w:type="gramEnd"/>
      <w:r w:rsidRPr="0096181E">
        <w:t xml:space="preserve"> throughout much of southern Georgia. While growers in the area of Echols County were familiar with this pest problem, and did not experience heavy losses, growers in Colquitt, Brooks and other counties did experience yield losses in both crops. </w:t>
      </w:r>
    </w:p>
    <w:p w:rsidR="0096181E" w:rsidRPr="0096181E" w:rsidRDefault="0096181E" w:rsidP="0096181E">
      <w:r w:rsidRPr="0096181E">
        <w:t xml:space="preserve">Pepper weevil also presented severe problems in pepper and eggplant in the fall of 2017. Some infestations </w:t>
      </w:r>
      <w:proofErr w:type="gramStart"/>
      <w:r w:rsidRPr="0096181E">
        <w:t>were reported</w:t>
      </w:r>
      <w:proofErr w:type="gramEnd"/>
      <w:r w:rsidRPr="0096181E">
        <w:t xml:space="preserve"> earlier in the year, but populations in the fall exceeded anything previously experienced in these crops. Late production </w:t>
      </w:r>
      <w:proofErr w:type="gramStart"/>
      <w:r w:rsidRPr="0096181E">
        <w:t>was eliminated</w:t>
      </w:r>
      <w:proofErr w:type="gramEnd"/>
      <w:r w:rsidRPr="0096181E">
        <w:t xml:space="preserve"> in many pepper fields. In infested eggplant fields, adult weevils were present in a high percentage of blooms and an obvious reduction in blooms </w:t>
      </w:r>
      <w:proofErr w:type="gramStart"/>
      <w:r w:rsidRPr="0096181E">
        <w:t>was noted</w:t>
      </w:r>
      <w:proofErr w:type="gramEnd"/>
      <w:r w:rsidRPr="0096181E">
        <w:t xml:space="preserve">, suggesting that weevils were causing bloom abscission. Bioassays conducted on </w:t>
      </w:r>
      <w:proofErr w:type="gramStart"/>
      <w:r w:rsidRPr="0096181E">
        <w:t>field collected</w:t>
      </w:r>
      <w:proofErr w:type="gramEnd"/>
      <w:r w:rsidRPr="0096181E">
        <w:t xml:space="preserve"> weevils indicated that </w:t>
      </w:r>
      <w:proofErr w:type="spellStart"/>
      <w:r w:rsidRPr="0096181E">
        <w:t>pyrethroid</w:t>
      </w:r>
      <w:proofErr w:type="spellEnd"/>
      <w:r w:rsidRPr="0096181E">
        <w:t xml:space="preserve"> insecticides, which have been the standard for control, were not effective in controlling pepper weevil.</w:t>
      </w:r>
    </w:p>
    <w:p w:rsidR="0096181E" w:rsidRPr="0096181E" w:rsidRDefault="0096181E" w:rsidP="0096181E">
      <w:r w:rsidRPr="0096181E">
        <w:t xml:space="preserve">Within the area pesticide regulation, two issues were of importance in vegetables. EPA did not remove </w:t>
      </w:r>
      <w:proofErr w:type="spellStart"/>
      <w:r w:rsidRPr="0096181E">
        <w:t>chlorpyrifos</w:t>
      </w:r>
      <w:proofErr w:type="spellEnd"/>
      <w:r w:rsidRPr="0096181E">
        <w:t xml:space="preserve"> uses, which was extremely important in some vegetables, particularly sweet potato and onion. Wireworms continue to be a severe pest of sweet potato and </w:t>
      </w:r>
      <w:proofErr w:type="spellStart"/>
      <w:r w:rsidRPr="0096181E">
        <w:t>chlorpyrifos</w:t>
      </w:r>
      <w:proofErr w:type="spellEnd"/>
      <w:r w:rsidRPr="0096181E">
        <w:t xml:space="preserve"> is a standard soil insecticide for these pests. This does remain as a concern as </w:t>
      </w:r>
      <w:proofErr w:type="spellStart"/>
      <w:r w:rsidRPr="0096181E">
        <w:t>chlorpyrifos</w:t>
      </w:r>
      <w:proofErr w:type="spellEnd"/>
      <w:r w:rsidRPr="0096181E">
        <w:t xml:space="preserve"> is still under registration review. Of extreme concern is the initiation of registration review of all </w:t>
      </w:r>
      <w:proofErr w:type="spellStart"/>
      <w:r w:rsidRPr="0096181E">
        <w:t>pyrethroids</w:t>
      </w:r>
      <w:proofErr w:type="spellEnd"/>
      <w:r w:rsidRPr="0096181E">
        <w:t xml:space="preserve">. In light of their importance as the last of the </w:t>
      </w:r>
      <w:proofErr w:type="gramStart"/>
      <w:r w:rsidRPr="0096181E">
        <w:t>broad spectrum</w:t>
      </w:r>
      <w:proofErr w:type="gramEnd"/>
      <w:r w:rsidRPr="0096181E">
        <w:t xml:space="preserve"> insecticides, and the current emphasis on pollinator protection, this conflict could have huge implications on future pest management in many crops, particularly those reliant on insect pollinators.</w:t>
      </w:r>
    </w:p>
    <w:p w:rsidR="0096181E" w:rsidRPr="0096181E" w:rsidRDefault="0096181E" w:rsidP="0096181E"/>
    <w:p w:rsidR="0096181E" w:rsidRPr="0096181E" w:rsidRDefault="0096181E" w:rsidP="0096181E">
      <w:pPr>
        <w:spacing w:after="0" w:line="240" w:lineRule="auto"/>
        <w:outlineLvl w:val="0"/>
        <w:rPr>
          <w:b/>
        </w:rPr>
      </w:pPr>
      <w:bookmarkStart w:id="14" w:name="_Toc509838125"/>
      <w:r w:rsidRPr="0096181E">
        <w:rPr>
          <w:b/>
        </w:rPr>
        <w:t>Wheat</w:t>
      </w:r>
      <w:bookmarkEnd w:id="14"/>
    </w:p>
    <w:p w:rsidR="0096181E" w:rsidRDefault="0096181E" w:rsidP="0096181E">
      <w:r w:rsidRPr="0096181E">
        <w:t xml:space="preserve">Harvest wheat acreage in 2017 was about 160,000 acres planted and 70,000 acres harvested with average statewide yield of 47 </w:t>
      </w:r>
      <w:proofErr w:type="spellStart"/>
      <w:r w:rsidRPr="0096181E">
        <w:t>bu</w:t>
      </w:r>
      <w:proofErr w:type="spellEnd"/>
      <w:r w:rsidRPr="0096181E">
        <w:t xml:space="preserve">/acre at $4.10/bu.  Acreage was lower than previous years due to poor conditions at planting time and low commodity prices.  Resistant varieties continue to be the main line of defense against the Hessian fly. Some fields of susceptible varieties had significant Hessian fly damage in the spring.   Aphids and barley/cereal yellow dwarf disease levels were generally low in the coastal plain region but caused some damage in northern Georgia. Cereal leaf beetle infestations were low but some fields </w:t>
      </w:r>
      <w:proofErr w:type="gramStart"/>
      <w:r w:rsidRPr="0096181E">
        <w:t>were treated</w:t>
      </w:r>
      <w:proofErr w:type="gramEnd"/>
      <w:r w:rsidRPr="0096181E">
        <w:t xml:space="preserve"> in east-central Georgia.   Scab disease is a major concern but was not as severe as the previous season.</w:t>
      </w:r>
    </w:p>
    <w:p w:rsidR="0015781B" w:rsidRDefault="0096181E">
      <w:r>
        <w:br w:type="page"/>
      </w:r>
      <w:r w:rsidR="0015781B" w:rsidRPr="0015781B">
        <w:rPr>
          <w:noProof/>
        </w:rPr>
        <w:lastRenderedPageBreak/>
        <w:drawing>
          <wp:inline distT="0" distB="0" distL="0" distR="0">
            <wp:extent cx="5410200" cy="862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8620125"/>
                    </a:xfrm>
                    <a:prstGeom prst="rect">
                      <a:avLst/>
                    </a:prstGeom>
                    <a:noFill/>
                    <a:ln>
                      <a:noFill/>
                    </a:ln>
                  </pic:spPr>
                </pic:pic>
              </a:graphicData>
            </a:graphic>
          </wp:inline>
        </w:drawing>
      </w:r>
      <w:r w:rsidR="0015781B">
        <w:br w:type="page"/>
      </w:r>
    </w:p>
    <w:p w:rsidR="00523D9C" w:rsidRPr="00431A11" w:rsidRDefault="00523D9C" w:rsidP="0015781B">
      <w:pPr>
        <w:jc w:val="center"/>
        <w:rPr>
          <w:b/>
          <w:sz w:val="28"/>
          <w:szCs w:val="28"/>
        </w:rPr>
      </w:pPr>
      <w:r w:rsidRPr="00431A11">
        <w:rPr>
          <w:b/>
          <w:sz w:val="28"/>
          <w:szCs w:val="28"/>
        </w:rPr>
        <w:lastRenderedPageBreak/>
        <w:t>Georgia Entomological Society</w:t>
      </w:r>
    </w:p>
    <w:p w:rsidR="00523D9C" w:rsidRDefault="00523D9C" w:rsidP="00523D9C">
      <w:pPr>
        <w:spacing w:after="0"/>
        <w:jc w:val="center"/>
        <w:rPr>
          <w:b/>
          <w:sz w:val="28"/>
          <w:szCs w:val="28"/>
        </w:rPr>
      </w:pPr>
      <w:r w:rsidRPr="00431A11">
        <w:rPr>
          <w:b/>
          <w:sz w:val="28"/>
          <w:szCs w:val="28"/>
        </w:rPr>
        <w:t>201</w:t>
      </w:r>
      <w:r w:rsidR="003A03D3">
        <w:rPr>
          <w:b/>
          <w:sz w:val="28"/>
          <w:szCs w:val="28"/>
        </w:rPr>
        <w:t>8</w:t>
      </w:r>
      <w:r w:rsidRPr="00431A11">
        <w:rPr>
          <w:b/>
          <w:sz w:val="28"/>
          <w:szCs w:val="28"/>
        </w:rPr>
        <w:t xml:space="preserve"> Annual Meeting Financial Report</w:t>
      </w:r>
    </w:p>
    <w:p w:rsidR="00523D9C" w:rsidRDefault="00523D9C" w:rsidP="00523D9C">
      <w:pPr>
        <w:spacing w:after="0"/>
        <w:jc w:val="center"/>
        <w:rPr>
          <w:b/>
          <w:sz w:val="28"/>
          <w:szCs w:val="28"/>
        </w:rPr>
      </w:pPr>
    </w:p>
    <w:p w:rsidR="00523D9C" w:rsidRDefault="00523D9C" w:rsidP="00523D9C">
      <w:pPr>
        <w:jc w:val="center"/>
      </w:pPr>
      <w:r>
        <w:t>The 8</w:t>
      </w:r>
      <w:r w:rsidR="003A03D3">
        <w:t>2nd</w:t>
      </w:r>
      <w:r>
        <w:t xml:space="preserve"> Annual Meeting held at </w:t>
      </w:r>
      <w:r w:rsidR="003A03D3">
        <w:t>Unicoi State Park, Helen</w:t>
      </w:r>
      <w:r>
        <w:t>, Georgia.</w:t>
      </w:r>
    </w:p>
    <w:p w:rsidR="00523D9C" w:rsidRDefault="00523D9C" w:rsidP="00523D9C"/>
    <w:p w:rsidR="00523D9C" w:rsidRDefault="00523D9C" w:rsidP="00523D9C">
      <w:r w:rsidRPr="00431A11">
        <w:t>GES Meeting Financial Report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gridCol w:w="1620"/>
        <w:gridCol w:w="2610"/>
      </w:tblGrid>
      <w:tr w:rsidR="00523D9C" w:rsidTr="00D00604">
        <w:tc>
          <w:tcPr>
            <w:tcW w:w="1908" w:type="dxa"/>
            <w:hideMark/>
          </w:tcPr>
          <w:p w:rsidR="00523D9C" w:rsidRDefault="00523D9C" w:rsidP="00D00604">
            <w:pPr>
              <w:rPr>
                <w:u w:val="single"/>
              </w:rPr>
            </w:pPr>
            <w:r>
              <w:rPr>
                <w:u w:val="single"/>
              </w:rPr>
              <w:t>Income</w:t>
            </w:r>
          </w:p>
        </w:tc>
        <w:tc>
          <w:tcPr>
            <w:tcW w:w="2880" w:type="dxa"/>
          </w:tcPr>
          <w:p w:rsidR="00523D9C" w:rsidRDefault="00523D9C" w:rsidP="00D00604"/>
        </w:tc>
        <w:tc>
          <w:tcPr>
            <w:tcW w:w="1620" w:type="dxa"/>
          </w:tcPr>
          <w:p w:rsidR="00523D9C" w:rsidRDefault="00523D9C" w:rsidP="00D00604">
            <w:pPr>
              <w:jc w:val="right"/>
            </w:pP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D00604">
            <w:r>
              <w:t>Industry Support</w:t>
            </w:r>
          </w:p>
        </w:tc>
        <w:tc>
          <w:tcPr>
            <w:tcW w:w="1620" w:type="dxa"/>
            <w:hideMark/>
          </w:tcPr>
          <w:p w:rsidR="00523D9C" w:rsidRDefault="00523D9C" w:rsidP="00150CD8">
            <w:pPr>
              <w:jc w:val="right"/>
            </w:pPr>
            <w:r>
              <w:t>$</w:t>
            </w:r>
            <w:r w:rsidR="00150CD8">
              <w:t>1</w:t>
            </w:r>
            <w:r>
              <w:t>,</w:t>
            </w:r>
            <w:r w:rsidR="00150CD8">
              <w:t>850</w:t>
            </w:r>
            <w:r>
              <w:t>.00</w:t>
            </w: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D00604">
            <w:r>
              <w:t>Registration</w:t>
            </w:r>
          </w:p>
        </w:tc>
        <w:tc>
          <w:tcPr>
            <w:tcW w:w="1620" w:type="dxa"/>
          </w:tcPr>
          <w:p w:rsidR="00523D9C" w:rsidRDefault="00523D9C" w:rsidP="00D00604">
            <w:pPr>
              <w:jc w:val="right"/>
            </w:pP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BD457E">
            <w:r>
              <w:t xml:space="preserve">     Full (</w:t>
            </w:r>
            <w:r w:rsidR="003A03D3">
              <w:t>5</w:t>
            </w:r>
            <w:r w:rsidR="00BD457E">
              <w:t>4</w:t>
            </w:r>
            <w:r>
              <w:t xml:space="preserve"> at $1</w:t>
            </w:r>
            <w:r w:rsidR="003A03D3">
              <w:t>3</w:t>
            </w:r>
            <w:r>
              <w:t>0</w:t>
            </w:r>
            <w:r w:rsidR="003A03D3">
              <w:t>/140</w:t>
            </w:r>
            <w:r>
              <w:t>)</w:t>
            </w:r>
          </w:p>
        </w:tc>
        <w:tc>
          <w:tcPr>
            <w:tcW w:w="1620" w:type="dxa"/>
            <w:hideMark/>
          </w:tcPr>
          <w:p w:rsidR="00523D9C" w:rsidRDefault="00C41C07" w:rsidP="00BD457E">
            <w:pPr>
              <w:jc w:val="right"/>
            </w:pPr>
            <w:r>
              <w:t>7</w:t>
            </w:r>
            <w:r w:rsidR="00523D9C">
              <w:t>,</w:t>
            </w:r>
            <w:r w:rsidR="00BD457E">
              <w:t>11</w:t>
            </w:r>
            <w:r w:rsidR="00523D9C">
              <w:t>0.00</w:t>
            </w: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BD457E">
            <w:r>
              <w:t xml:space="preserve">     Emeritus (</w:t>
            </w:r>
            <w:r w:rsidR="00BD457E">
              <w:t>9</w:t>
            </w:r>
            <w:r>
              <w:t xml:space="preserve"> at $50</w:t>
            </w:r>
            <w:r w:rsidR="00C41C07">
              <w:t>-85</w:t>
            </w:r>
            <w:r>
              <w:t>)</w:t>
            </w:r>
          </w:p>
        </w:tc>
        <w:tc>
          <w:tcPr>
            <w:tcW w:w="1620" w:type="dxa"/>
            <w:hideMark/>
          </w:tcPr>
          <w:p w:rsidR="00523D9C" w:rsidRDefault="00C41C07" w:rsidP="00BD457E">
            <w:pPr>
              <w:jc w:val="right"/>
            </w:pPr>
            <w:r>
              <w:t>5</w:t>
            </w:r>
            <w:r w:rsidR="00BD457E">
              <w:t>55</w:t>
            </w:r>
            <w:r w:rsidR="00523D9C">
              <w:t>.00</w:t>
            </w: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D00604">
            <w:r>
              <w:t xml:space="preserve">     Student (</w:t>
            </w:r>
            <w:r w:rsidR="00C41C07">
              <w:t>3</w:t>
            </w:r>
            <w:r w:rsidR="0015781B">
              <w:t>5</w:t>
            </w:r>
            <w:r>
              <w:t xml:space="preserve"> at $25</w:t>
            </w:r>
            <w:r w:rsidR="003A03D3">
              <w:t>/40</w:t>
            </w:r>
            <w:r>
              <w:t>)</w:t>
            </w:r>
          </w:p>
          <w:p w:rsidR="00523D9C" w:rsidRDefault="00523D9C" w:rsidP="003A03D3">
            <w:r>
              <w:t xml:space="preserve">     Spouses (</w:t>
            </w:r>
            <w:r w:rsidR="003A03D3">
              <w:t>9</w:t>
            </w:r>
            <w:r>
              <w:t xml:space="preserve"> at $25)</w:t>
            </w:r>
          </w:p>
        </w:tc>
        <w:tc>
          <w:tcPr>
            <w:tcW w:w="1620" w:type="dxa"/>
            <w:tcBorders>
              <w:top w:val="nil"/>
              <w:left w:val="nil"/>
              <w:bottom w:val="single" w:sz="4" w:space="0" w:color="auto"/>
              <w:right w:val="nil"/>
            </w:tcBorders>
            <w:hideMark/>
          </w:tcPr>
          <w:p w:rsidR="00523D9C" w:rsidRDefault="00BD457E" w:rsidP="00D00604">
            <w:pPr>
              <w:jc w:val="right"/>
            </w:pPr>
            <w:r>
              <w:t>9</w:t>
            </w:r>
            <w:r w:rsidR="0015781B">
              <w:t>65</w:t>
            </w:r>
            <w:r w:rsidR="00523D9C">
              <w:t>.00</w:t>
            </w:r>
          </w:p>
          <w:p w:rsidR="00523D9C" w:rsidRDefault="00C41C07" w:rsidP="00C41C07">
            <w:pPr>
              <w:jc w:val="right"/>
            </w:pPr>
            <w:r>
              <w:t>225</w:t>
            </w:r>
            <w:r w:rsidR="00523D9C">
              <w:t>.00</w:t>
            </w: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D00604">
            <w:r>
              <w:t>Total Income</w:t>
            </w:r>
          </w:p>
        </w:tc>
        <w:tc>
          <w:tcPr>
            <w:tcW w:w="1620" w:type="dxa"/>
            <w:tcBorders>
              <w:top w:val="single" w:sz="4" w:space="0" w:color="auto"/>
              <w:left w:val="nil"/>
              <w:bottom w:val="nil"/>
              <w:right w:val="nil"/>
            </w:tcBorders>
            <w:hideMark/>
          </w:tcPr>
          <w:p w:rsidR="00523D9C" w:rsidRDefault="00523D9C" w:rsidP="00150CD8">
            <w:pPr>
              <w:jc w:val="right"/>
            </w:pPr>
            <w:r>
              <w:t>$</w:t>
            </w:r>
            <w:r w:rsidR="00C41C07">
              <w:t>1</w:t>
            </w:r>
            <w:r w:rsidR="00BD457E">
              <w:t>0</w:t>
            </w:r>
            <w:r>
              <w:t>,</w:t>
            </w:r>
            <w:r w:rsidR="00150CD8">
              <w:t>705</w:t>
            </w:r>
            <w:r>
              <w:t>.00</w:t>
            </w:r>
          </w:p>
        </w:tc>
        <w:tc>
          <w:tcPr>
            <w:tcW w:w="2610" w:type="dxa"/>
          </w:tcPr>
          <w:p w:rsidR="00523D9C" w:rsidRDefault="00523D9C" w:rsidP="00D00604"/>
        </w:tc>
      </w:tr>
      <w:tr w:rsidR="00523D9C" w:rsidTr="00D00604">
        <w:tc>
          <w:tcPr>
            <w:tcW w:w="1908" w:type="dxa"/>
          </w:tcPr>
          <w:p w:rsidR="00523D9C" w:rsidRDefault="00523D9C" w:rsidP="00D00604"/>
        </w:tc>
        <w:tc>
          <w:tcPr>
            <w:tcW w:w="2880" w:type="dxa"/>
          </w:tcPr>
          <w:p w:rsidR="00523D9C" w:rsidRDefault="00523D9C" w:rsidP="00D00604"/>
        </w:tc>
        <w:tc>
          <w:tcPr>
            <w:tcW w:w="1620" w:type="dxa"/>
          </w:tcPr>
          <w:p w:rsidR="00523D9C" w:rsidRDefault="00523D9C" w:rsidP="00D00604">
            <w:pPr>
              <w:jc w:val="right"/>
            </w:pPr>
          </w:p>
        </w:tc>
        <w:tc>
          <w:tcPr>
            <w:tcW w:w="2610" w:type="dxa"/>
          </w:tcPr>
          <w:p w:rsidR="00523D9C" w:rsidRDefault="00523D9C" w:rsidP="00D00604"/>
        </w:tc>
      </w:tr>
      <w:tr w:rsidR="00523D9C" w:rsidTr="00D00604">
        <w:tc>
          <w:tcPr>
            <w:tcW w:w="1908" w:type="dxa"/>
            <w:hideMark/>
          </w:tcPr>
          <w:p w:rsidR="00523D9C" w:rsidRDefault="00523D9C" w:rsidP="00D00604">
            <w:pPr>
              <w:rPr>
                <w:u w:val="single"/>
              </w:rPr>
            </w:pPr>
            <w:r>
              <w:rPr>
                <w:u w:val="single"/>
              </w:rPr>
              <w:t>Expenses</w:t>
            </w:r>
          </w:p>
        </w:tc>
        <w:tc>
          <w:tcPr>
            <w:tcW w:w="2880" w:type="dxa"/>
          </w:tcPr>
          <w:p w:rsidR="00523D9C" w:rsidRDefault="00523D9C" w:rsidP="00D00604"/>
        </w:tc>
        <w:tc>
          <w:tcPr>
            <w:tcW w:w="1620" w:type="dxa"/>
          </w:tcPr>
          <w:p w:rsidR="00523D9C" w:rsidRDefault="00523D9C" w:rsidP="00D00604">
            <w:pPr>
              <w:jc w:val="right"/>
            </w:pP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3A03D3" w:rsidP="003A03D3">
            <w:r>
              <w:t>Unicoi</w:t>
            </w:r>
          </w:p>
        </w:tc>
        <w:tc>
          <w:tcPr>
            <w:tcW w:w="1620" w:type="dxa"/>
            <w:hideMark/>
          </w:tcPr>
          <w:p w:rsidR="00523D9C" w:rsidRDefault="00523D9C" w:rsidP="003A03D3">
            <w:pPr>
              <w:jc w:val="right"/>
            </w:pPr>
            <w:r>
              <w:t>$</w:t>
            </w:r>
            <w:r w:rsidR="003A03D3">
              <w:t>7162.88</w:t>
            </w: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B76E4E">
            <w:r>
              <w:t xml:space="preserve">Programs </w:t>
            </w:r>
          </w:p>
        </w:tc>
        <w:tc>
          <w:tcPr>
            <w:tcW w:w="1620" w:type="dxa"/>
            <w:hideMark/>
          </w:tcPr>
          <w:p w:rsidR="00523D9C" w:rsidRDefault="00BD457E" w:rsidP="00B76E4E">
            <w:pPr>
              <w:jc w:val="right"/>
            </w:pPr>
            <w:r>
              <w:t>541.37</w:t>
            </w: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D00604">
            <w:r>
              <w:t>Plaques</w:t>
            </w:r>
          </w:p>
        </w:tc>
        <w:tc>
          <w:tcPr>
            <w:tcW w:w="1620" w:type="dxa"/>
            <w:hideMark/>
          </w:tcPr>
          <w:p w:rsidR="00523D9C" w:rsidRDefault="00BD457E" w:rsidP="00B76E4E">
            <w:pPr>
              <w:jc w:val="right"/>
            </w:pPr>
            <w:r>
              <w:t>779.50</w:t>
            </w: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D00604">
            <w:r>
              <w:t>Awards</w:t>
            </w:r>
          </w:p>
          <w:p w:rsidR="00523D9C" w:rsidRDefault="00523D9C" w:rsidP="00D00604">
            <w:r>
              <w:t>Scholarships</w:t>
            </w:r>
          </w:p>
        </w:tc>
        <w:tc>
          <w:tcPr>
            <w:tcW w:w="1620" w:type="dxa"/>
            <w:hideMark/>
          </w:tcPr>
          <w:p w:rsidR="00523D9C" w:rsidRDefault="003A03D3" w:rsidP="00D00604">
            <w:pPr>
              <w:jc w:val="right"/>
            </w:pPr>
            <w:r>
              <w:t>1175</w:t>
            </w:r>
            <w:r w:rsidR="00523D9C">
              <w:t>.00</w:t>
            </w:r>
          </w:p>
          <w:p w:rsidR="00523D9C" w:rsidRDefault="003A03D3" w:rsidP="003A03D3">
            <w:pPr>
              <w:jc w:val="right"/>
            </w:pPr>
            <w:r>
              <w:t>10</w:t>
            </w:r>
            <w:r w:rsidR="00523D9C">
              <w:t>00.00</w:t>
            </w: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D00604">
            <w:r>
              <w:t>Fun Run</w:t>
            </w:r>
          </w:p>
          <w:p w:rsidR="00523D9C" w:rsidRDefault="00B76E4E" w:rsidP="00D00604">
            <w:r>
              <w:t>Meeting supplies</w:t>
            </w:r>
          </w:p>
          <w:p w:rsidR="00C41C07" w:rsidRDefault="00C41C07" w:rsidP="00C41C07">
            <w:r>
              <w:t>South Carolina reimburse.</w:t>
            </w:r>
          </w:p>
        </w:tc>
        <w:tc>
          <w:tcPr>
            <w:tcW w:w="1620" w:type="dxa"/>
            <w:hideMark/>
          </w:tcPr>
          <w:p w:rsidR="00523D9C" w:rsidRDefault="00523D9C" w:rsidP="00D00604">
            <w:pPr>
              <w:jc w:val="right"/>
            </w:pPr>
          </w:p>
          <w:p w:rsidR="00523D9C" w:rsidRDefault="003A03D3" w:rsidP="003A03D3">
            <w:pPr>
              <w:jc w:val="right"/>
            </w:pPr>
            <w:r>
              <w:t>158.22</w:t>
            </w:r>
          </w:p>
          <w:p w:rsidR="00C41C07" w:rsidRDefault="00BD457E" w:rsidP="003A03D3">
            <w:pPr>
              <w:jc w:val="right"/>
            </w:pPr>
            <w:r>
              <w:t>180.00</w:t>
            </w:r>
          </w:p>
        </w:tc>
        <w:tc>
          <w:tcPr>
            <w:tcW w:w="2610" w:type="dxa"/>
          </w:tcPr>
          <w:p w:rsidR="00523D9C" w:rsidRDefault="00523D9C" w:rsidP="00D00604"/>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D00604"/>
        </w:tc>
        <w:tc>
          <w:tcPr>
            <w:tcW w:w="1620" w:type="dxa"/>
            <w:tcBorders>
              <w:top w:val="nil"/>
              <w:left w:val="nil"/>
              <w:bottom w:val="single" w:sz="4" w:space="0" w:color="auto"/>
              <w:right w:val="nil"/>
            </w:tcBorders>
            <w:hideMark/>
          </w:tcPr>
          <w:p w:rsidR="00523D9C" w:rsidRDefault="00523D9C" w:rsidP="00D00604">
            <w:pPr>
              <w:jc w:val="right"/>
            </w:pPr>
          </w:p>
        </w:tc>
        <w:tc>
          <w:tcPr>
            <w:tcW w:w="2610" w:type="dxa"/>
          </w:tcPr>
          <w:p w:rsidR="00523D9C" w:rsidRDefault="00523D9C" w:rsidP="00D00604"/>
        </w:tc>
      </w:tr>
      <w:tr w:rsidR="00523D9C" w:rsidTr="00D00604">
        <w:tc>
          <w:tcPr>
            <w:tcW w:w="1908" w:type="dxa"/>
          </w:tcPr>
          <w:p w:rsidR="00523D9C" w:rsidRDefault="00523D9C" w:rsidP="00D00604"/>
        </w:tc>
        <w:tc>
          <w:tcPr>
            <w:tcW w:w="2880" w:type="dxa"/>
            <w:hideMark/>
          </w:tcPr>
          <w:p w:rsidR="00523D9C" w:rsidRDefault="00523D9C" w:rsidP="00D00604">
            <w:r>
              <w:t>Total Expenses</w:t>
            </w:r>
          </w:p>
        </w:tc>
        <w:tc>
          <w:tcPr>
            <w:tcW w:w="1620" w:type="dxa"/>
            <w:tcBorders>
              <w:top w:val="single" w:sz="4" w:space="0" w:color="auto"/>
              <w:left w:val="nil"/>
              <w:bottom w:val="nil"/>
              <w:right w:val="nil"/>
            </w:tcBorders>
            <w:hideMark/>
          </w:tcPr>
          <w:p w:rsidR="00523D9C" w:rsidRDefault="00523D9C" w:rsidP="00BD457E">
            <w:pPr>
              <w:jc w:val="right"/>
            </w:pPr>
            <w:r>
              <w:t>$</w:t>
            </w:r>
            <w:r w:rsidR="00BD457E">
              <w:t>10996.97</w:t>
            </w:r>
          </w:p>
        </w:tc>
        <w:tc>
          <w:tcPr>
            <w:tcW w:w="2610" w:type="dxa"/>
          </w:tcPr>
          <w:p w:rsidR="00523D9C" w:rsidRDefault="00523D9C" w:rsidP="00D00604"/>
        </w:tc>
      </w:tr>
      <w:tr w:rsidR="00523D9C" w:rsidTr="00D00604">
        <w:tc>
          <w:tcPr>
            <w:tcW w:w="1908" w:type="dxa"/>
          </w:tcPr>
          <w:p w:rsidR="00523D9C" w:rsidRDefault="00523D9C" w:rsidP="00D00604"/>
        </w:tc>
        <w:tc>
          <w:tcPr>
            <w:tcW w:w="2880" w:type="dxa"/>
          </w:tcPr>
          <w:p w:rsidR="00523D9C" w:rsidRDefault="00523D9C" w:rsidP="00D00604"/>
        </w:tc>
        <w:tc>
          <w:tcPr>
            <w:tcW w:w="1620" w:type="dxa"/>
          </w:tcPr>
          <w:p w:rsidR="00523D9C" w:rsidRDefault="00523D9C" w:rsidP="00D00604">
            <w:pPr>
              <w:jc w:val="right"/>
            </w:pPr>
          </w:p>
        </w:tc>
        <w:tc>
          <w:tcPr>
            <w:tcW w:w="2610" w:type="dxa"/>
          </w:tcPr>
          <w:p w:rsidR="00523D9C" w:rsidRDefault="00523D9C" w:rsidP="00D00604"/>
        </w:tc>
      </w:tr>
      <w:tr w:rsidR="00523D9C" w:rsidTr="00D00604">
        <w:tc>
          <w:tcPr>
            <w:tcW w:w="1908" w:type="dxa"/>
            <w:hideMark/>
          </w:tcPr>
          <w:p w:rsidR="00523D9C" w:rsidRDefault="00523D9C" w:rsidP="00D00604">
            <w:pPr>
              <w:rPr>
                <w:u w:val="single"/>
              </w:rPr>
            </w:pPr>
            <w:r>
              <w:rPr>
                <w:u w:val="single"/>
              </w:rPr>
              <w:t>Income - expenses</w:t>
            </w:r>
          </w:p>
        </w:tc>
        <w:tc>
          <w:tcPr>
            <w:tcW w:w="2880" w:type="dxa"/>
          </w:tcPr>
          <w:p w:rsidR="00523D9C" w:rsidRDefault="00523D9C" w:rsidP="00D00604"/>
        </w:tc>
        <w:tc>
          <w:tcPr>
            <w:tcW w:w="1620" w:type="dxa"/>
            <w:hideMark/>
          </w:tcPr>
          <w:p w:rsidR="00523D9C" w:rsidRDefault="00BD457E" w:rsidP="00150CD8">
            <w:pPr>
              <w:jc w:val="right"/>
            </w:pPr>
            <w:r>
              <w:t>-</w:t>
            </w:r>
            <w:r w:rsidR="00523D9C">
              <w:t>$</w:t>
            </w:r>
            <w:r w:rsidR="00150CD8">
              <w:t>29</w:t>
            </w:r>
            <w:r w:rsidR="0015781B">
              <w:t>1</w:t>
            </w:r>
            <w:r>
              <w:t>.97</w:t>
            </w:r>
          </w:p>
        </w:tc>
        <w:tc>
          <w:tcPr>
            <w:tcW w:w="2610" w:type="dxa"/>
          </w:tcPr>
          <w:p w:rsidR="00523D9C" w:rsidRDefault="00523D9C" w:rsidP="00D00604"/>
          <w:p w:rsidR="00150CD8" w:rsidRDefault="00150CD8" w:rsidP="00D00604"/>
          <w:p w:rsidR="00150CD8" w:rsidRDefault="00150CD8" w:rsidP="00D00604"/>
        </w:tc>
      </w:tr>
    </w:tbl>
    <w:p w:rsidR="00523D9C" w:rsidRDefault="00150CD8" w:rsidP="00523D9C">
      <w:r>
        <w:t>**Figures are accurate as of 4/20/18</w:t>
      </w:r>
    </w:p>
    <w:p w:rsidR="00150CD8" w:rsidRDefault="00150CD8" w:rsidP="00523D9C"/>
    <w:p w:rsidR="00523D9C" w:rsidRDefault="00523D9C" w:rsidP="00523D9C"/>
    <w:p w:rsidR="00FF7299" w:rsidRDefault="00FF7299" w:rsidP="00FF7299">
      <w:pPr>
        <w:jc w:val="center"/>
        <w:rPr>
          <w:b/>
          <w:sz w:val="72"/>
          <w:szCs w:val="72"/>
        </w:rPr>
      </w:pPr>
    </w:p>
    <w:p w:rsidR="00FF7299" w:rsidRDefault="00FF7299" w:rsidP="00FF7299">
      <w:pPr>
        <w:jc w:val="center"/>
        <w:rPr>
          <w:b/>
          <w:sz w:val="72"/>
          <w:szCs w:val="72"/>
        </w:rPr>
      </w:pPr>
    </w:p>
    <w:p w:rsidR="00FF7299" w:rsidRDefault="00FF7299" w:rsidP="00FF7299">
      <w:pPr>
        <w:jc w:val="center"/>
        <w:rPr>
          <w:b/>
          <w:sz w:val="72"/>
          <w:szCs w:val="72"/>
        </w:rPr>
      </w:pPr>
    </w:p>
    <w:p w:rsidR="00FF7299" w:rsidRPr="00FF7299" w:rsidRDefault="00FF7299" w:rsidP="00FF7299">
      <w:pPr>
        <w:jc w:val="center"/>
        <w:rPr>
          <w:b/>
          <w:sz w:val="72"/>
          <w:szCs w:val="72"/>
        </w:rPr>
      </w:pPr>
      <w:r w:rsidRPr="00FF7299">
        <w:rPr>
          <w:b/>
          <w:sz w:val="72"/>
          <w:szCs w:val="72"/>
        </w:rPr>
        <w:t>MEMBERSHIP OF THE GEORGIA ENTOMOLOGICAL SOCIETY</w:t>
      </w:r>
      <w:r w:rsidR="00C4609E" w:rsidRPr="00FF7299">
        <w:rPr>
          <w:b/>
          <w:sz w:val="72"/>
          <w:szCs w:val="72"/>
        </w:rPr>
        <w:br w:type="page"/>
      </w:r>
    </w:p>
    <w:p w:rsidR="00660670" w:rsidRDefault="00660670" w:rsidP="00523D9C">
      <w:pPr>
        <w:rPr>
          <w:b/>
        </w:rPr>
      </w:pPr>
      <w:r w:rsidRPr="00660670">
        <w:rPr>
          <w:noProof/>
        </w:rPr>
        <w:lastRenderedPageBreak/>
        <w:drawing>
          <wp:inline distT="0" distB="0" distL="0" distR="0">
            <wp:extent cx="5829300" cy="7458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7458075"/>
                    </a:xfrm>
                    <a:prstGeom prst="rect">
                      <a:avLst/>
                    </a:prstGeom>
                    <a:noFill/>
                    <a:ln>
                      <a:noFill/>
                    </a:ln>
                  </pic:spPr>
                </pic:pic>
              </a:graphicData>
            </a:graphic>
          </wp:inline>
        </w:drawing>
      </w:r>
    </w:p>
    <w:p w:rsidR="00660670" w:rsidRDefault="00660670">
      <w:pPr>
        <w:rPr>
          <w:b/>
        </w:rPr>
      </w:pPr>
      <w:r>
        <w:rPr>
          <w:b/>
        </w:rPr>
        <w:br w:type="page"/>
      </w:r>
    </w:p>
    <w:p w:rsidR="009718E1" w:rsidRDefault="00660670" w:rsidP="00523D9C">
      <w:pPr>
        <w:rPr>
          <w:b/>
        </w:rPr>
      </w:pPr>
      <w:r w:rsidRPr="00660670">
        <w:rPr>
          <w:noProof/>
        </w:rPr>
        <w:lastRenderedPageBreak/>
        <w:drawing>
          <wp:inline distT="0" distB="0" distL="0" distR="0">
            <wp:extent cx="5534025" cy="7458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4025" cy="7458075"/>
                    </a:xfrm>
                    <a:prstGeom prst="rect">
                      <a:avLst/>
                    </a:prstGeom>
                    <a:noFill/>
                    <a:ln>
                      <a:noFill/>
                    </a:ln>
                  </pic:spPr>
                </pic:pic>
              </a:graphicData>
            </a:graphic>
          </wp:inline>
        </w:drawing>
      </w:r>
    </w:p>
    <w:p w:rsidR="009718E1" w:rsidRDefault="009718E1">
      <w:pPr>
        <w:rPr>
          <w:b/>
        </w:rPr>
      </w:pPr>
      <w:r>
        <w:rPr>
          <w:b/>
        </w:rPr>
        <w:br w:type="page"/>
      </w:r>
    </w:p>
    <w:p w:rsidR="009718E1" w:rsidRDefault="009718E1" w:rsidP="00523D9C">
      <w:pPr>
        <w:rPr>
          <w:b/>
        </w:rPr>
      </w:pPr>
      <w:r w:rsidRPr="009718E1">
        <w:rPr>
          <w:noProof/>
        </w:rPr>
        <w:lastRenderedPageBreak/>
        <w:drawing>
          <wp:inline distT="0" distB="0" distL="0" distR="0">
            <wp:extent cx="5534025" cy="7458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4025" cy="7458075"/>
                    </a:xfrm>
                    <a:prstGeom prst="rect">
                      <a:avLst/>
                    </a:prstGeom>
                    <a:noFill/>
                    <a:ln>
                      <a:noFill/>
                    </a:ln>
                  </pic:spPr>
                </pic:pic>
              </a:graphicData>
            </a:graphic>
          </wp:inline>
        </w:drawing>
      </w:r>
    </w:p>
    <w:p w:rsidR="009718E1" w:rsidRDefault="009718E1">
      <w:pPr>
        <w:rPr>
          <w:b/>
        </w:rPr>
      </w:pPr>
      <w:r>
        <w:rPr>
          <w:b/>
        </w:rPr>
        <w:br w:type="page"/>
      </w:r>
    </w:p>
    <w:p w:rsidR="008E305D" w:rsidRDefault="009718E1" w:rsidP="00523D9C">
      <w:pPr>
        <w:rPr>
          <w:b/>
        </w:rPr>
      </w:pPr>
      <w:r w:rsidRPr="009718E1">
        <w:rPr>
          <w:noProof/>
        </w:rPr>
        <w:lastRenderedPageBreak/>
        <w:drawing>
          <wp:inline distT="0" distB="0" distL="0" distR="0">
            <wp:extent cx="5534025" cy="7458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4025" cy="7458075"/>
                    </a:xfrm>
                    <a:prstGeom prst="rect">
                      <a:avLst/>
                    </a:prstGeom>
                    <a:noFill/>
                    <a:ln>
                      <a:noFill/>
                    </a:ln>
                  </pic:spPr>
                </pic:pic>
              </a:graphicData>
            </a:graphic>
          </wp:inline>
        </w:drawing>
      </w:r>
    </w:p>
    <w:sectPr w:rsidR="008E305D" w:rsidSect="00DC653F">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37" w:rsidRDefault="00CF0437" w:rsidP="00481B2E">
      <w:pPr>
        <w:spacing w:after="0" w:line="240" w:lineRule="auto"/>
      </w:pPr>
      <w:r>
        <w:separator/>
      </w:r>
    </w:p>
  </w:endnote>
  <w:endnote w:type="continuationSeparator" w:id="0">
    <w:p w:rsidR="00CF0437" w:rsidRDefault="00CF0437" w:rsidP="0048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D8" w:rsidRDefault="00150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90981"/>
      <w:docPartObj>
        <w:docPartGallery w:val="Page Numbers (Bottom of Page)"/>
        <w:docPartUnique/>
      </w:docPartObj>
    </w:sdtPr>
    <w:sdtEndPr>
      <w:rPr>
        <w:noProof/>
      </w:rPr>
    </w:sdtEndPr>
    <w:sdtContent>
      <w:p w:rsidR="00150CD8" w:rsidRDefault="00150CD8">
        <w:pPr>
          <w:pStyle w:val="Footer"/>
          <w:jc w:val="center"/>
        </w:pPr>
        <w:r>
          <w:fldChar w:fldCharType="begin"/>
        </w:r>
        <w:r>
          <w:instrText xml:space="preserve"> PAGE   \* MERGEFORMAT </w:instrText>
        </w:r>
        <w:r>
          <w:fldChar w:fldCharType="separate"/>
        </w:r>
        <w:r w:rsidR="003F1C87">
          <w:rPr>
            <w:noProof/>
          </w:rPr>
          <w:t>xiii</w:t>
        </w:r>
        <w:r>
          <w:rPr>
            <w:noProof/>
          </w:rPr>
          <w:fldChar w:fldCharType="end"/>
        </w:r>
      </w:p>
    </w:sdtContent>
  </w:sdt>
  <w:p w:rsidR="00150CD8" w:rsidRDefault="00150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76729"/>
      <w:docPartObj>
        <w:docPartGallery w:val="Page Numbers (Bottom of Page)"/>
        <w:docPartUnique/>
      </w:docPartObj>
    </w:sdtPr>
    <w:sdtEndPr>
      <w:rPr>
        <w:noProof/>
      </w:rPr>
    </w:sdtEndPr>
    <w:sdtContent>
      <w:p w:rsidR="00150CD8" w:rsidRDefault="00150C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50CD8" w:rsidRDefault="00150C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401711"/>
      <w:docPartObj>
        <w:docPartGallery w:val="Page Numbers (Bottom of Page)"/>
        <w:docPartUnique/>
      </w:docPartObj>
    </w:sdtPr>
    <w:sdtEndPr>
      <w:rPr>
        <w:noProof/>
      </w:rPr>
    </w:sdtEndPr>
    <w:sdtContent>
      <w:p w:rsidR="00150CD8" w:rsidRDefault="00150CD8">
        <w:pPr>
          <w:pStyle w:val="Footer"/>
          <w:jc w:val="center"/>
        </w:pPr>
        <w:r>
          <w:fldChar w:fldCharType="begin"/>
        </w:r>
        <w:r>
          <w:instrText xml:space="preserve"> PAGE   \* MERGEFORMAT </w:instrText>
        </w:r>
        <w:r>
          <w:fldChar w:fldCharType="separate"/>
        </w:r>
        <w:r w:rsidR="003F1C87">
          <w:rPr>
            <w:noProof/>
          </w:rPr>
          <w:t>24</w:t>
        </w:r>
        <w:r>
          <w:rPr>
            <w:noProof/>
          </w:rPr>
          <w:fldChar w:fldCharType="end"/>
        </w:r>
      </w:p>
    </w:sdtContent>
  </w:sdt>
  <w:p w:rsidR="00150CD8" w:rsidRDefault="00150C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14501"/>
      <w:docPartObj>
        <w:docPartGallery w:val="Page Numbers (Bottom of Page)"/>
        <w:docPartUnique/>
      </w:docPartObj>
    </w:sdtPr>
    <w:sdtEndPr>
      <w:rPr>
        <w:noProof/>
      </w:rPr>
    </w:sdtEndPr>
    <w:sdtContent>
      <w:p w:rsidR="00150CD8" w:rsidRDefault="00150CD8">
        <w:pPr>
          <w:pStyle w:val="Footer"/>
          <w:jc w:val="center"/>
        </w:pPr>
        <w:r>
          <w:fldChar w:fldCharType="begin"/>
        </w:r>
        <w:r>
          <w:instrText xml:space="preserve"> PAGE   \* MERGEFORMAT </w:instrText>
        </w:r>
        <w:r>
          <w:fldChar w:fldCharType="separate"/>
        </w:r>
        <w:r>
          <w:rPr>
            <w:noProof/>
          </w:rPr>
          <w:t xml:space="preserve"> </w:t>
        </w:r>
        <w:r>
          <w:rPr>
            <w:noProof/>
          </w:rPr>
          <w:fldChar w:fldCharType="end"/>
        </w:r>
      </w:p>
    </w:sdtContent>
  </w:sdt>
  <w:p w:rsidR="00150CD8" w:rsidRDefault="0015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37" w:rsidRDefault="00CF0437" w:rsidP="00481B2E">
      <w:pPr>
        <w:spacing w:after="0" w:line="240" w:lineRule="auto"/>
      </w:pPr>
      <w:r>
        <w:separator/>
      </w:r>
    </w:p>
  </w:footnote>
  <w:footnote w:type="continuationSeparator" w:id="0">
    <w:p w:rsidR="00CF0437" w:rsidRDefault="00CF0437" w:rsidP="0048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D8" w:rsidRDefault="00150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D8" w:rsidRDefault="00150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D8" w:rsidRDefault="0015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B63"/>
    <w:multiLevelType w:val="hybridMultilevel"/>
    <w:tmpl w:val="37B8F514"/>
    <w:lvl w:ilvl="0" w:tplc="54468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F246DF"/>
    <w:multiLevelType w:val="hybridMultilevel"/>
    <w:tmpl w:val="509A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A7"/>
    <w:rsid w:val="00015C15"/>
    <w:rsid w:val="00017ABD"/>
    <w:rsid w:val="000219D2"/>
    <w:rsid w:val="000300A7"/>
    <w:rsid w:val="00033906"/>
    <w:rsid w:val="00052694"/>
    <w:rsid w:val="00070746"/>
    <w:rsid w:val="00071BD2"/>
    <w:rsid w:val="00075482"/>
    <w:rsid w:val="00082819"/>
    <w:rsid w:val="00082B21"/>
    <w:rsid w:val="00086C02"/>
    <w:rsid w:val="000912E7"/>
    <w:rsid w:val="00095AEE"/>
    <w:rsid w:val="00096B8B"/>
    <w:rsid w:val="000B4518"/>
    <w:rsid w:val="000B5513"/>
    <w:rsid w:val="000C0D9E"/>
    <w:rsid w:val="000C1D0D"/>
    <w:rsid w:val="000D03D7"/>
    <w:rsid w:val="000D7BAB"/>
    <w:rsid w:val="000E611E"/>
    <w:rsid w:val="000F0899"/>
    <w:rsid w:val="00102FDF"/>
    <w:rsid w:val="00103D34"/>
    <w:rsid w:val="00120B50"/>
    <w:rsid w:val="00134FD9"/>
    <w:rsid w:val="001355DD"/>
    <w:rsid w:val="00150CD8"/>
    <w:rsid w:val="00151315"/>
    <w:rsid w:val="00156032"/>
    <w:rsid w:val="0015781B"/>
    <w:rsid w:val="001674B6"/>
    <w:rsid w:val="001710EA"/>
    <w:rsid w:val="00171581"/>
    <w:rsid w:val="00171B1A"/>
    <w:rsid w:val="00187EE5"/>
    <w:rsid w:val="00193E5F"/>
    <w:rsid w:val="001A4AAC"/>
    <w:rsid w:val="001A5112"/>
    <w:rsid w:val="001A536D"/>
    <w:rsid w:val="00204793"/>
    <w:rsid w:val="00206EB1"/>
    <w:rsid w:val="002209A9"/>
    <w:rsid w:val="002350D9"/>
    <w:rsid w:val="00260DB5"/>
    <w:rsid w:val="0026626B"/>
    <w:rsid w:val="00274959"/>
    <w:rsid w:val="002762F6"/>
    <w:rsid w:val="00276C01"/>
    <w:rsid w:val="00280FAE"/>
    <w:rsid w:val="00284685"/>
    <w:rsid w:val="002A2823"/>
    <w:rsid w:val="002A2F2E"/>
    <w:rsid w:val="002A6ED1"/>
    <w:rsid w:val="002B48FB"/>
    <w:rsid w:val="002B57EC"/>
    <w:rsid w:val="002B6542"/>
    <w:rsid w:val="002C11F4"/>
    <w:rsid w:val="002D23CE"/>
    <w:rsid w:val="002F1F2B"/>
    <w:rsid w:val="002F4C97"/>
    <w:rsid w:val="002F6C8A"/>
    <w:rsid w:val="00304C5E"/>
    <w:rsid w:val="00312925"/>
    <w:rsid w:val="00320E45"/>
    <w:rsid w:val="003449B2"/>
    <w:rsid w:val="00350EFC"/>
    <w:rsid w:val="00373EDA"/>
    <w:rsid w:val="00376409"/>
    <w:rsid w:val="0037745D"/>
    <w:rsid w:val="00381908"/>
    <w:rsid w:val="00390B04"/>
    <w:rsid w:val="003A03D3"/>
    <w:rsid w:val="003A0ECE"/>
    <w:rsid w:val="003B2359"/>
    <w:rsid w:val="003C0D69"/>
    <w:rsid w:val="003D02CE"/>
    <w:rsid w:val="003D4CA5"/>
    <w:rsid w:val="003F1C87"/>
    <w:rsid w:val="004022DF"/>
    <w:rsid w:val="00411BF4"/>
    <w:rsid w:val="004200B3"/>
    <w:rsid w:val="0042676A"/>
    <w:rsid w:val="00431A11"/>
    <w:rsid w:val="00432AFB"/>
    <w:rsid w:val="0044320E"/>
    <w:rsid w:val="00455441"/>
    <w:rsid w:val="004738E5"/>
    <w:rsid w:val="00481960"/>
    <w:rsid w:val="00481B2E"/>
    <w:rsid w:val="004956EE"/>
    <w:rsid w:val="00496591"/>
    <w:rsid w:val="004A4D3F"/>
    <w:rsid w:val="004B0689"/>
    <w:rsid w:val="004C28F5"/>
    <w:rsid w:val="004D32B9"/>
    <w:rsid w:val="004D75AC"/>
    <w:rsid w:val="004E70C9"/>
    <w:rsid w:val="004F12D0"/>
    <w:rsid w:val="0050078A"/>
    <w:rsid w:val="0050799C"/>
    <w:rsid w:val="0052143A"/>
    <w:rsid w:val="00523D9C"/>
    <w:rsid w:val="0052583F"/>
    <w:rsid w:val="00546B83"/>
    <w:rsid w:val="00546C8C"/>
    <w:rsid w:val="00546D36"/>
    <w:rsid w:val="00546F7D"/>
    <w:rsid w:val="00560ED8"/>
    <w:rsid w:val="005636D1"/>
    <w:rsid w:val="00565EA2"/>
    <w:rsid w:val="0058013C"/>
    <w:rsid w:val="005811EC"/>
    <w:rsid w:val="005A17D2"/>
    <w:rsid w:val="005B0273"/>
    <w:rsid w:val="005B3F05"/>
    <w:rsid w:val="005F718C"/>
    <w:rsid w:val="0060526C"/>
    <w:rsid w:val="00641CD1"/>
    <w:rsid w:val="00642A1E"/>
    <w:rsid w:val="00656CDB"/>
    <w:rsid w:val="00656E9A"/>
    <w:rsid w:val="00660670"/>
    <w:rsid w:val="00684691"/>
    <w:rsid w:val="00690BD6"/>
    <w:rsid w:val="00693988"/>
    <w:rsid w:val="006A574E"/>
    <w:rsid w:val="006E6C4D"/>
    <w:rsid w:val="006F21D8"/>
    <w:rsid w:val="00703477"/>
    <w:rsid w:val="007143C3"/>
    <w:rsid w:val="00721743"/>
    <w:rsid w:val="0076218B"/>
    <w:rsid w:val="00777DA3"/>
    <w:rsid w:val="007B737A"/>
    <w:rsid w:val="007C07EC"/>
    <w:rsid w:val="007C2951"/>
    <w:rsid w:val="007C3E2B"/>
    <w:rsid w:val="007C461F"/>
    <w:rsid w:val="007F2639"/>
    <w:rsid w:val="007F4883"/>
    <w:rsid w:val="008422AF"/>
    <w:rsid w:val="00851E96"/>
    <w:rsid w:val="00853A05"/>
    <w:rsid w:val="008575AD"/>
    <w:rsid w:val="008636BD"/>
    <w:rsid w:val="00863DB3"/>
    <w:rsid w:val="00872D1F"/>
    <w:rsid w:val="00876411"/>
    <w:rsid w:val="0089440B"/>
    <w:rsid w:val="008A7691"/>
    <w:rsid w:val="008C389B"/>
    <w:rsid w:val="008D5217"/>
    <w:rsid w:val="008D6599"/>
    <w:rsid w:val="008E0182"/>
    <w:rsid w:val="008E305D"/>
    <w:rsid w:val="008F3F8E"/>
    <w:rsid w:val="00905677"/>
    <w:rsid w:val="00907958"/>
    <w:rsid w:val="00913AFF"/>
    <w:rsid w:val="00922554"/>
    <w:rsid w:val="0092618A"/>
    <w:rsid w:val="0094307A"/>
    <w:rsid w:val="00950C04"/>
    <w:rsid w:val="009606EF"/>
    <w:rsid w:val="0096181E"/>
    <w:rsid w:val="009718E1"/>
    <w:rsid w:val="009750EB"/>
    <w:rsid w:val="00980135"/>
    <w:rsid w:val="00981583"/>
    <w:rsid w:val="00997B99"/>
    <w:rsid w:val="009A695D"/>
    <w:rsid w:val="009B11FE"/>
    <w:rsid w:val="009B1858"/>
    <w:rsid w:val="009C4FF6"/>
    <w:rsid w:val="009D0991"/>
    <w:rsid w:val="009E20BD"/>
    <w:rsid w:val="009F20BD"/>
    <w:rsid w:val="00A10017"/>
    <w:rsid w:val="00A22F38"/>
    <w:rsid w:val="00A23FA4"/>
    <w:rsid w:val="00A44D89"/>
    <w:rsid w:val="00A6223A"/>
    <w:rsid w:val="00A67A86"/>
    <w:rsid w:val="00AA3EDA"/>
    <w:rsid w:val="00AA575C"/>
    <w:rsid w:val="00AB78A7"/>
    <w:rsid w:val="00AC2983"/>
    <w:rsid w:val="00AD5272"/>
    <w:rsid w:val="00AD5823"/>
    <w:rsid w:val="00AF4124"/>
    <w:rsid w:val="00B12E05"/>
    <w:rsid w:val="00B27C0D"/>
    <w:rsid w:val="00B47AA1"/>
    <w:rsid w:val="00B522B6"/>
    <w:rsid w:val="00B553E6"/>
    <w:rsid w:val="00B75317"/>
    <w:rsid w:val="00B76E4E"/>
    <w:rsid w:val="00B87E3F"/>
    <w:rsid w:val="00B923C1"/>
    <w:rsid w:val="00B96E0E"/>
    <w:rsid w:val="00BD457E"/>
    <w:rsid w:val="00C24EDC"/>
    <w:rsid w:val="00C26E92"/>
    <w:rsid w:val="00C2720F"/>
    <w:rsid w:val="00C41C07"/>
    <w:rsid w:val="00C4609E"/>
    <w:rsid w:val="00C55C87"/>
    <w:rsid w:val="00C61D9B"/>
    <w:rsid w:val="00C67375"/>
    <w:rsid w:val="00C7465E"/>
    <w:rsid w:val="00C7544E"/>
    <w:rsid w:val="00C96A9A"/>
    <w:rsid w:val="00CC20BF"/>
    <w:rsid w:val="00CC47C0"/>
    <w:rsid w:val="00CF0437"/>
    <w:rsid w:val="00CF0C23"/>
    <w:rsid w:val="00D00604"/>
    <w:rsid w:val="00D45A02"/>
    <w:rsid w:val="00D81A3D"/>
    <w:rsid w:val="00DA0B26"/>
    <w:rsid w:val="00DA1865"/>
    <w:rsid w:val="00DB11EF"/>
    <w:rsid w:val="00DC42F1"/>
    <w:rsid w:val="00DC653F"/>
    <w:rsid w:val="00DD258A"/>
    <w:rsid w:val="00DE1D88"/>
    <w:rsid w:val="00DE577B"/>
    <w:rsid w:val="00DF5339"/>
    <w:rsid w:val="00E0210D"/>
    <w:rsid w:val="00E128F7"/>
    <w:rsid w:val="00E20D00"/>
    <w:rsid w:val="00E53FD8"/>
    <w:rsid w:val="00E873E8"/>
    <w:rsid w:val="00E9359C"/>
    <w:rsid w:val="00EB7160"/>
    <w:rsid w:val="00EC221F"/>
    <w:rsid w:val="00EC60DE"/>
    <w:rsid w:val="00EF188B"/>
    <w:rsid w:val="00EF3ACF"/>
    <w:rsid w:val="00EF49D4"/>
    <w:rsid w:val="00EF5B52"/>
    <w:rsid w:val="00F03653"/>
    <w:rsid w:val="00F07A6D"/>
    <w:rsid w:val="00F201B0"/>
    <w:rsid w:val="00F22D7F"/>
    <w:rsid w:val="00F25C24"/>
    <w:rsid w:val="00F26396"/>
    <w:rsid w:val="00F732F3"/>
    <w:rsid w:val="00F86339"/>
    <w:rsid w:val="00F96B5D"/>
    <w:rsid w:val="00FA6C0B"/>
    <w:rsid w:val="00FC2386"/>
    <w:rsid w:val="00FE4498"/>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9326"/>
  <w15:docId w15:val="{BF129219-5FE5-48D5-97E5-50A0438F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2E"/>
    <w:rPr>
      <w:rFonts w:ascii="Tahoma" w:hAnsi="Tahoma" w:cs="Tahoma"/>
      <w:sz w:val="16"/>
      <w:szCs w:val="16"/>
    </w:rPr>
  </w:style>
  <w:style w:type="paragraph" w:styleId="Header">
    <w:name w:val="header"/>
    <w:basedOn w:val="Normal"/>
    <w:link w:val="HeaderChar"/>
    <w:uiPriority w:val="99"/>
    <w:unhideWhenUsed/>
    <w:rsid w:val="0048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2E"/>
  </w:style>
  <w:style w:type="paragraph" w:styleId="Footer">
    <w:name w:val="footer"/>
    <w:basedOn w:val="Normal"/>
    <w:link w:val="FooterChar"/>
    <w:uiPriority w:val="99"/>
    <w:unhideWhenUsed/>
    <w:rsid w:val="0048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2E"/>
  </w:style>
  <w:style w:type="table" w:styleId="TableGrid">
    <w:name w:val="Table Grid"/>
    <w:basedOn w:val="TableNormal"/>
    <w:uiPriority w:val="59"/>
    <w:rsid w:val="0048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320E"/>
    <w:pPr>
      <w:spacing w:after="0" w:line="240" w:lineRule="auto"/>
    </w:pPr>
    <w:tblPr/>
  </w:style>
  <w:style w:type="table" w:customStyle="1" w:styleId="TableGrid2">
    <w:name w:val="Table Grid2"/>
    <w:basedOn w:val="TableNormal"/>
    <w:next w:val="TableGrid"/>
    <w:uiPriority w:val="59"/>
    <w:rsid w:val="00F201B0"/>
    <w:pPr>
      <w:spacing w:after="0" w:line="240" w:lineRule="auto"/>
    </w:pPr>
    <w:tblPr/>
  </w:style>
  <w:style w:type="table" w:customStyle="1" w:styleId="TableGrid3">
    <w:name w:val="Table Grid3"/>
    <w:basedOn w:val="TableNormal"/>
    <w:next w:val="TableGrid"/>
    <w:uiPriority w:val="59"/>
    <w:rsid w:val="00EF5B52"/>
    <w:pPr>
      <w:spacing w:after="0" w:line="240" w:lineRule="auto"/>
    </w:pPr>
    <w:tblPr/>
  </w:style>
  <w:style w:type="paragraph" w:styleId="ListParagraph">
    <w:name w:val="List Paragraph"/>
    <w:basedOn w:val="Normal"/>
    <w:uiPriority w:val="34"/>
    <w:qFormat/>
    <w:rsid w:val="00546D36"/>
    <w:pPr>
      <w:ind w:left="720"/>
      <w:contextualSpacing/>
    </w:pPr>
  </w:style>
  <w:style w:type="table" w:customStyle="1" w:styleId="TableGrid4">
    <w:name w:val="Table Grid4"/>
    <w:basedOn w:val="TableNormal"/>
    <w:next w:val="TableGrid"/>
    <w:uiPriority w:val="59"/>
    <w:rsid w:val="00102FDF"/>
    <w:pPr>
      <w:spacing w:after="0" w:line="240" w:lineRule="auto"/>
    </w:pPr>
    <w:tblPr/>
  </w:style>
  <w:style w:type="character" w:styleId="Hyperlink">
    <w:name w:val="Hyperlink"/>
    <w:basedOn w:val="DefaultParagraphFont"/>
    <w:uiPriority w:val="99"/>
    <w:semiHidden/>
    <w:unhideWhenUsed/>
    <w:rsid w:val="005A17D2"/>
    <w:rPr>
      <w:color w:val="0000FF"/>
      <w:u w:val="single"/>
    </w:rPr>
  </w:style>
  <w:style w:type="paragraph" w:styleId="Caption">
    <w:name w:val="caption"/>
    <w:basedOn w:val="Normal"/>
    <w:next w:val="Normal"/>
    <w:uiPriority w:val="35"/>
    <w:unhideWhenUsed/>
    <w:qFormat/>
    <w:rsid w:val="00922554"/>
    <w:pPr>
      <w:spacing w:line="240" w:lineRule="auto"/>
    </w:pPr>
    <w:rPr>
      <w:b/>
      <w:bCs/>
      <w:color w:val="4F81BD" w:themeColor="accent1"/>
      <w:sz w:val="18"/>
      <w:szCs w:val="18"/>
    </w:rPr>
  </w:style>
  <w:style w:type="table" w:customStyle="1" w:styleId="TableGrid5">
    <w:name w:val="Table Grid5"/>
    <w:basedOn w:val="TableNormal"/>
    <w:next w:val="TableGrid"/>
    <w:uiPriority w:val="59"/>
    <w:rsid w:val="00071BD2"/>
    <w:pPr>
      <w:spacing w:after="0" w:line="240" w:lineRule="auto"/>
    </w:pPr>
    <w:tblPr/>
  </w:style>
  <w:style w:type="table" w:customStyle="1" w:styleId="TableGrid6">
    <w:name w:val="Table Grid6"/>
    <w:basedOn w:val="TableNormal"/>
    <w:next w:val="TableGrid"/>
    <w:uiPriority w:val="59"/>
    <w:rsid w:val="009E20BD"/>
    <w:pPr>
      <w:spacing w:after="0" w:line="240" w:lineRule="auto"/>
    </w:pPr>
    <w:tblPr/>
  </w:style>
  <w:style w:type="table" w:styleId="PlainTable4">
    <w:name w:val="Plain Table 4"/>
    <w:basedOn w:val="TableNormal"/>
    <w:uiPriority w:val="44"/>
    <w:rsid w:val="00E873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7">
    <w:name w:val="Table Grid7"/>
    <w:basedOn w:val="TableNormal"/>
    <w:next w:val="TableGrid"/>
    <w:uiPriority w:val="59"/>
    <w:rsid w:val="00E873E8"/>
    <w:pPr>
      <w:spacing w:after="0" w:line="240" w:lineRule="auto"/>
    </w:pPr>
    <w:tblPr/>
  </w:style>
  <w:style w:type="paragraph" w:styleId="NormalWeb">
    <w:name w:val="Normal (Web)"/>
    <w:basedOn w:val="Normal"/>
    <w:uiPriority w:val="99"/>
    <w:unhideWhenUsed/>
    <w:rsid w:val="00150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6354">
      <w:bodyDiv w:val="1"/>
      <w:marLeft w:val="0"/>
      <w:marRight w:val="0"/>
      <w:marTop w:val="0"/>
      <w:marBottom w:val="0"/>
      <w:divBdr>
        <w:top w:val="none" w:sz="0" w:space="0" w:color="auto"/>
        <w:left w:val="none" w:sz="0" w:space="0" w:color="auto"/>
        <w:bottom w:val="none" w:sz="0" w:space="0" w:color="auto"/>
        <w:right w:val="none" w:sz="0" w:space="0" w:color="auto"/>
      </w:divBdr>
    </w:div>
    <w:div w:id="81999470">
      <w:bodyDiv w:val="1"/>
      <w:marLeft w:val="0"/>
      <w:marRight w:val="0"/>
      <w:marTop w:val="0"/>
      <w:marBottom w:val="0"/>
      <w:divBdr>
        <w:top w:val="none" w:sz="0" w:space="0" w:color="auto"/>
        <w:left w:val="none" w:sz="0" w:space="0" w:color="auto"/>
        <w:bottom w:val="none" w:sz="0" w:space="0" w:color="auto"/>
        <w:right w:val="none" w:sz="0" w:space="0" w:color="auto"/>
      </w:divBdr>
    </w:div>
    <w:div w:id="136535071">
      <w:bodyDiv w:val="1"/>
      <w:marLeft w:val="0"/>
      <w:marRight w:val="0"/>
      <w:marTop w:val="0"/>
      <w:marBottom w:val="0"/>
      <w:divBdr>
        <w:top w:val="none" w:sz="0" w:space="0" w:color="auto"/>
        <w:left w:val="none" w:sz="0" w:space="0" w:color="auto"/>
        <w:bottom w:val="none" w:sz="0" w:space="0" w:color="auto"/>
        <w:right w:val="none" w:sz="0" w:space="0" w:color="auto"/>
      </w:divBdr>
    </w:div>
    <w:div w:id="335159645">
      <w:bodyDiv w:val="1"/>
      <w:marLeft w:val="0"/>
      <w:marRight w:val="0"/>
      <w:marTop w:val="0"/>
      <w:marBottom w:val="0"/>
      <w:divBdr>
        <w:top w:val="none" w:sz="0" w:space="0" w:color="auto"/>
        <w:left w:val="none" w:sz="0" w:space="0" w:color="auto"/>
        <w:bottom w:val="none" w:sz="0" w:space="0" w:color="auto"/>
        <w:right w:val="none" w:sz="0" w:space="0" w:color="auto"/>
      </w:divBdr>
    </w:div>
    <w:div w:id="475033434">
      <w:bodyDiv w:val="1"/>
      <w:marLeft w:val="0"/>
      <w:marRight w:val="0"/>
      <w:marTop w:val="0"/>
      <w:marBottom w:val="0"/>
      <w:divBdr>
        <w:top w:val="none" w:sz="0" w:space="0" w:color="auto"/>
        <w:left w:val="none" w:sz="0" w:space="0" w:color="auto"/>
        <w:bottom w:val="none" w:sz="0" w:space="0" w:color="auto"/>
        <w:right w:val="none" w:sz="0" w:space="0" w:color="auto"/>
      </w:divBdr>
    </w:div>
    <w:div w:id="499471205">
      <w:bodyDiv w:val="1"/>
      <w:marLeft w:val="0"/>
      <w:marRight w:val="0"/>
      <w:marTop w:val="0"/>
      <w:marBottom w:val="0"/>
      <w:divBdr>
        <w:top w:val="none" w:sz="0" w:space="0" w:color="auto"/>
        <w:left w:val="none" w:sz="0" w:space="0" w:color="auto"/>
        <w:bottom w:val="none" w:sz="0" w:space="0" w:color="auto"/>
        <w:right w:val="none" w:sz="0" w:space="0" w:color="auto"/>
      </w:divBdr>
    </w:div>
    <w:div w:id="629476727">
      <w:bodyDiv w:val="1"/>
      <w:marLeft w:val="0"/>
      <w:marRight w:val="0"/>
      <w:marTop w:val="0"/>
      <w:marBottom w:val="0"/>
      <w:divBdr>
        <w:top w:val="none" w:sz="0" w:space="0" w:color="auto"/>
        <w:left w:val="none" w:sz="0" w:space="0" w:color="auto"/>
        <w:bottom w:val="none" w:sz="0" w:space="0" w:color="auto"/>
        <w:right w:val="none" w:sz="0" w:space="0" w:color="auto"/>
      </w:divBdr>
    </w:div>
    <w:div w:id="675811278">
      <w:bodyDiv w:val="1"/>
      <w:marLeft w:val="0"/>
      <w:marRight w:val="0"/>
      <w:marTop w:val="0"/>
      <w:marBottom w:val="0"/>
      <w:divBdr>
        <w:top w:val="none" w:sz="0" w:space="0" w:color="auto"/>
        <w:left w:val="none" w:sz="0" w:space="0" w:color="auto"/>
        <w:bottom w:val="none" w:sz="0" w:space="0" w:color="auto"/>
        <w:right w:val="none" w:sz="0" w:space="0" w:color="auto"/>
      </w:divBdr>
    </w:div>
    <w:div w:id="785542986">
      <w:bodyDiv w:val="1"/>
      <w:marLeft w:val="0"/>
      <w:marRight w:val="0"/>
      <w:marTop w:val="0"/>
      <w:marBottom w:val="0"/>
      <w:divBdr>
        <w:top w:val="none" w:sz="0" w:space="0" w:color="auto"/>
        <w:left w:val="none" w:sz="0" w:space="0" w:color="auto"/>
        <w:bottom w:val="none" w:sz="0" w:space="0" w:color="auto"/>
        <w:right w:val="none" w:sz="0" w:space="0" w:color="auto"/>
      </w:divBdr>
    </w:div>
    <w:div w:id="845904449">
      <w:bodyDiv w:val="1"/>
      <w:marLeft w:val="0"/>
      <w:marRight w:val="0"/>
      <w:marTop w:val="0"/>
      <w:marBottom w:val="0"/>
      <w:divBdr>
        <w:top w:val="none" w:sz="0" w:space="0" w:color="auto"/>
        <w:left w:val="none" w:sz="0" w:space="0" w:color="auto"/>
        <w:bottom w:val="none" w:sz="0" w:space="0" w:color="auto"/>
        <w:right w:val="none" w:sz="0" w:space="0" w:color="auto"/>
      </w:divBdr>
    </w:div>
    <w:div w:id="861477283">
      <w:bodyDiv w:val="1"/>
      <w:marLeft w:val="0"/>
      <w:marRight w:val="0"/>
      <w:marTop w:val="0"/>
      <w:marBottom w:val="0"/>
      <w:divBdr>
        <w:top w:val="none" w:sz="0" w:space="0" w:color="auto"/>
        <w:left w:val="none" w:sz="0" w:space="0" w:color="auto"/>
        <w:bottom w:val="none" w:sz="0" w:space="0" w:color="auto"/>
        <w:right w:val="none" w:sz="0" w:space="0" w:color="auto"/>
      </w:divBdr>
    </w:div>
    <w:div w:id="945699021">
      <w:bodyDiv w:val="1"/>
      <w:marLeft w:val="0"/>
      <w:marRight w:val="0"/>
      <w:marTop w:val="0"/>
      <w:marBottom w:val="0"/>
      <w:divBdr>
        <w:top w:val="none" w:sz="0" w:space="0" w:color="auto"/>
        <w:left w:val="none" w:sz="0" w:space="0" w:color="auto"/>
        <w:bottom w:val="none" w:sz="0" w:space="0" w:color="auto"/>
        <w:right w:val="none" w:sz="0" w:space="0" w:color="auto"/>
      </w:divBdr>
    </w:div>
    <w:div w:id="1351489186">
      <w:bodyDiv w:val="1"/>
      <w:marLeft w:val="0"/>
      <w:marRight w:val="0"/>
      <w:marTop w:val="0"/>
      <w:marBottom w:val="0"/>
      <w:divBdr>
        <w:top w:val="none" w:sz="0" w:space="0" w:color="auto"/>
        <w:left w:val="none" w:sz="0" w:space="0" w:color="auto"/>
        <w:bottom w:val="none" w:sz="0" w:space="0" w:color="auto"/>
        <w:right w:val="none" w:sz="0" w:space="0" w:color="auto"/>
      </w:divBdr>
    </w:div>
    <w:div w:id="1475442012">
      <w:bodyDiv w:val="1"/>
      <w:marLeft w:val="0"/>
      <w:marRight w:val="0"/>
      <w:marTop w:val="0"/>
      <w:marBottom w:val="0"/>
      <w:divBdr>
        <w:top w:val="none" w:sz="0" w:space="0" w:color="auto"/>
        <w:left w:val="none" w:sz="0" w:space="0" w:color="auto"/>
        <w:bottom w:val="none" w:sz="0" w:space="0" w:color="auto"/>
        <w:right w:val="none" w:sz="0" w:space="0" w:color="auto"/>
      </w:divBdr>
    </w:div>
    <w:div w:id="1606495728">
      <w:bodyDiv w:val="1"/>
      <w:marLeft w:val="0"/>
      <w:marRight w:val="0"/>
      <w:marTop w:val="0"/>
      <w:marBottom w:val="0"/>
      <w:divBdr>
        <w:top w:val="none" w:sz="0" w:space="0" w:color="auto"/>
        <w:left w:val="none" w:sz="0" w:space="0" w:color="auto"/>
        <w:bottom w:val="none" w:sz="0" w:space="0" w:color="auto"/>
        <w:right w:val="none" w:sz="0" w:space="0" w:color="auto"/>
      </w:divBdr>
    </w:div>
    <w:div w:id="1681394256">
      <w:bodyDiv w:val="1"/>
      <w:marLeft w:val="0"/>
      <w:marRight w:val="0"/>
      <w:marTop w:val="0"/>
      <w:marBottom w:val="0"/>
      <w:divBdr>
        <w:top w:val="none" w:sz="0" w:space="0" w:color="auto"/>
        <w:left w:val="none" w:sz="0" w:space="0" w:color="auto"/>
        <w:bottom w:val="none" w:sz="0" w:space="0" w:color="auto"/>
        <w:right w:val="none" w:sz="0" w:space="0" w:color="auto"/>
      </w:divBdr>
    </w:div>
    <w:div w:id="1790271554">
      <w:bodyDiv w:val="1"/>
      <w:marLeft w:val="0"/>
      <w:marRight w:val="0"/>
      <w:marTop w:val="0"/>
      <w:marBottom w:val="0"/>
      <w:divBdr>
        <w:top w:val="none" w:sz="0" w:space="0" w:color="auto"/>
        <w:left w:val="none" w:sz="0" w:space="0" w:color="auto"/>
        <w:bottom w:val="none" w:sz="0" w:space="0" w:color="auto"/>
        <w:right w:val="none" w:sz="0" w:space="0" w:color="auto"/>
      </w:divBdr>
    </w:div>
    <w:div w:id="1834835604">
      <w:bodyDiv w:val="1"/>
      <w:marLeft w:val="0"/>
      <w:marRight w:val="0"/>
      <w:marTop w:val="0"/>
      <w:marBottom w:val="0"/>
      <w:divBdr>
        <w:top w:val="none" w:sz="0" w:space="0" w:color="auto"/>
        <w:left w:val="none" w:sz="0" w:space="0" w:color="auto"/>
        <w:bottom w:val="none" w:sz="0" w:space="0" w:color="auto"/>
        <w:right w:val="none" w:sz="0" w:space="0" w:color="auto"/>
      </w:divBdr>
    </w:div>
    <w:div w:id="1883975464">
      <w:bodyDiv w:val="1"/>
      <w:marLeft w:val="0"/>
      <w:marRight w:val="0"/>
      <w:marTop w:val="0"/>
      <w:marBottom w:val="0"/>
      <w:divBdr>
        <w:top w:val="none" w:sz="0" w:space="0" w:color="auto"/>
        <w:left w:val="none" w:sz="0" w:space="0" w:color="auto"/>
        <w:bottom w:val="none" w:sz="0" w:space="0" w:color="auto"/>
        <w:right w:val="none" w:sz="0" w:space="0" w:color="auto"/>
      </w:divBdr>
    </w:div>
    <w:div w:id="20161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tbopc.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31</Pages>
  <Words>7788</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Stormy Sparks</dc:creator>
  <cp:lastModifiedBy>Stan Diffie</cp:lastModifiedBy>
  <cp:revision>10</cp:revision>
  <cp:lastPrinted>2018-04-19T11:04:00Z</cp:lastPrinted>
  <dcterms:created xsi:type="dcterms:W3CDTF">2018-04-08T19:50:00Z</dcterms:created>
  <dcterms:modified xsi:type="dcterms:W3CDTF">2018-04-19T11:09:00Z</dcterms:modified>
</cp:coreProperties>
</file>